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042E" w14:textId="77777777" w:rsidR="00A15BE0" w:rsidRDefault="00A15BE0" w:rsidP="00A15BE0">
      <w:pPr>
        <w:pStyle w:val="Default"/>
        <w:rPr>
          <w:rFonts w:ascii="Arial Black" w:hAnsi="Arial Black" w:cs="Arial"/>
          <w:b/>
          <w:bCs/>
          <w:sz w:val="32"/>
          <w:szCs w:val="32"/>
        </w:rPr>
      </w:pPr>
      <w:bookmarkStart w:id="0" w:name="_GoBack"/>
      <w:bookmarkEnd w:id="0"/>
    </w:p>
    <w:p w14:paraId="68D3DAB7" w14:textId="11946F35" w:rsidR="006D07C3" w:rsidRDefault="006D07C3" w:rsidP="006D07C3">
      <w:pPr>
        <w:pStyle w:val="Default"/>
        <w:jc w:val="center"/>
        <w:rPr>
          <w:rFonts w:ascii="Arial Black" w:hAnsi="Arial Black" w:cs="Arial"/>
          <w:b/>
          <w:bCs/>
          <w:sz w:val="32"/>
          <w:szCs w:val="32"/>
        </w:rPr>
      </w:pPr>
      <w:r w:rsidRPr="006D07C3">
        <w:rPr>
          <w:rFonts w:ascii="Arial Black" w:hAnsi="Arial Black" w:cs="Arial"/>
          <w:b/>
          <w:bCs/>
          <w:sz w:val="32"/>
          <w:szCs w:val="32"/>
        </w:rPr>
        <w:t xml:space="preserve">Advice for patients who take replacement steroids (hydrocortisone, prednisolone, dexamethasone or </w:t>
      </w:r>
      <w:proofErr w:type="spellStart"/>
      <w:r w:rsidRPr="006D07C3">
        <w:rPr>
          <w:rFonts w:ascii="Arial Black" w:hAnsi="Arial Black" w:cs="Arial"/>
          <w:b/>
          <w:bCs/>
          <w:sz w:val="32"/>
          <w:szCs w:val="32"/>
        </w:rPr>
        <w:t>plenadren</w:t>
      </w:r>
      <w:proofErr w:type="spellEnd"/>
      <w:r w:rsidRPr="006D07C3">
        <w:rPr>
          <w:rFonts w:ascii="Arial Black" w:hAnsi="Arial Black" w:cs="Arial"/>
          <w:b/>
          <w:bCs/>
          <w:sz w:val="32"/>
          <w:szCs w:val="32"/>
        </w:rPr>
        <w:t>) for pituitary/adrenal insufficiency</w:t>
      </w:r>
    </w:p>
    <w:p w14:paraId="0FA86CA7" w14:textId="77777777" w:rsidR="004A0D61" w:rsidRDefault="004A0D61" w:rsidP="006D07C3">
      <w:pPr>
        <w:rPr>
          <w:rFonts w:eastAsia="Arial" w:cs="Arial"/>
          <w:bCs/>
          <w:color w:val="FF0000"/>
          <w:sz w:val="27"/>
          <w:szCs w:val="27"/>
        </w:rPr>
      </w:pPr>
    </w:p>
    <w:p w14:paraId="4B5D0D25" w14:textId="77777777" w:rsidR="004A0D61" w:rsidRPr="004A0D61" w:rsidRDefault="004A0D61" w:rsidP="004A0D61">
      <w:pPr>
        <w:rPr>
          <w:rFonts w:eastAsia="Arial" w:cs="Arial"/>
          <w:bCs/>
          <w:color w:val="auto"/>
          <w:sz w:val="27"/>
          <w:szCs w:val="27"/>
        </w:rPr>
      </w:pPr>
      <w:r w:rsidRPr="004A0D61">
        <w:rPr>
          <w:rFonts w:eastAsia="Arial" w:cs="Arial"/>
          <w:bCs/>
          <w:color w:val="auto"/>
          <w:sz w:val="27"/>
          <w:szCs w:val="27"/>
        </w:rPr>
        <w:t xml:space="preserve">If you have adrenal insufficiency (steroid dependent) and you become unwell for any reason, it’s important that you follow sick day rules. </w:t>
      </w:r>
    </w:p>
    <w:p w14:paraId="5E2805C0" w14:textId="77777777" w:rsidR="004A0D61" w:rsidRPr="004A0D61" w:rsidRDefault="004A0D61" w:rsidP="004A0D61">
      <w:pPr>
        <w:rPr>
          <w:rFonts w:eastAsia="Arial" w:cs="Arial"/>
          <w:bCs/>
          <w:color w:val="auto"/>
          <w:sz w:val="27"/>
          <w:szCs w:val="27"/>
        </w:rPr>
      </w:pPr>
    </w:p>
    <w:p w14:paraId="4BCE3369" w14:textId="77777777" w:rsidR="004A0D61" w:rsidRPr="004A0D61" w:rsidRDefault="004A0D61" w:rsidP="004A0D61">
      <w:pPr>
        <w:rPr>
          <w:rFonts w:eastAsia="Arial" w:cs="Arial"/>
          <w:bCs/>
          <w:color w:val="auto"/>
          <w:sz w:val="27"/>
          <w:szCs w:val="27"/>
        </w:rPr>
      </w:pPr>
      <w:r w:rsidRPr="004A0D61">
        <w:rPr>
          <w:rFonts w:eastAsia="Arial" w:cs="Arial"/>
          <w:bCs/>
          <w:color w:val="auto"/>
          <w:sz w:val="27"/>
          <w:szCs w:val="27"/>
        </w:rPr>
        <w:t>The term adrenal insufficiency includes Addison’s disease with primary adrenal failure, patients with pituitary problem including secondary adrenal failure and patients with congenital adrenal hyperplasia.</w:t>
      </w:r>
    </w:p>
    <w:p w14:paraId="407191C8" w14:textId="77777777" w:rsidR="004A0D61" w:rsidRPr="004A0D61" w:rsidRDefault="004A0D61" w:rsidP="004A0D61">
      <w:pPr>
        <w:rPr>
          <w:rFonts w:eastAsia="Arial" w:cs="Arial"/>
          <w:bCs/>
          <w:color w:val="auto"/>
          <w:sz w:val="27"/>
          <w:szCs w:val="27"/>
        </w:rPr>
      </w:pPr>
    </w:p>
    <w:p w14:paraId="40971D5C" w14:textId="77777777" w:rsidR="004A0D61" w:rsidRPr="004A0D61" w:rsidRDefault="004A0D61" w:rsidP="004A0D61">
      <w:pPr>
        <w:rPr>
          <w:rFonts w:eastAsia="Arial" w:cs="Arial"/>
          <w:bCs/>
          <w:color w:val="auto"/>
          <w:sz w:val="27"/>
          <w:szCs w:val="27"/>
        </w:rPr>
      </w:pPr>
      <w:r w:rsidRPr="004A0D61">
        <w:rPr>
          <w:rFonts w:eastAsia="Arial" w:cs="Arial"/>
          <w:bCs/>
          <w:color w:val="auto"/>
          <w:sz w:val="27"/>
          <w:szCs w:val="27"/>
        </w:rPr>
        <w:t xml:space="preserve">The government has recommended that those at increased risk of severe illness from coronavirus should be particularly stringent in following social distancing measures. </w:t>
      </w:r>
    </w:p>
    <w:p w14:paraId="5FF2893C" w14:textId="77777777" w:rsidR="004A0D61" w:rsidRPr="004A0D61" w:rsidRDefault="004A0D61" w:rsidP="004A0D61">
      <w:pPr>
        <w:rPr>
          <w:rFonts w:eastAsia="Arial" w:cs="Arial"/>
          <w:bCs/>
          <w:color w:val="auto"/>
          <w:sz w:val="27"/>
          <w:szCs w:val="27"/>
        </w:rPr>
      </w:pPr>
    </w:p>
    <w:p w14:paraId="004E2094" w14:textId="2BD6AB22" w:rsidR="004A0D61" w:rsidRPr="004A0D61" w:rsidRDefault="004A0D61" w:rsidP="004A0D61">
      <w:pPr>
        <w:rPr>
          <w:rFonts w:eastAsia="Arial" w:cs="Arial"/>
          <w:bCs/>
          <w:color w:val="auto"/>
          <w:sz w:val="27"/>
          <w:szCs w:val="27"/>
        </w:rPr>
      </w:pPr>
      <w:r w:rsidRPr="004A0D61">
        <w:rPr>
          <w:rFonts w:eastAsia="Arial" w:cs="Arial"/>
          <w:bCs/>
          <w:color w:val="auto"/>
          <w:sz w:val="27"/>
          <w:szCs w:val="27"/>
        </w:rPr>
        <w:t xml:space="preserve">We have previously advised patients with adrenal insufficiency to receive the flu vaccine annually on medical grounds. Furthermore, by definition, patients with adrenal insufficiency do receive steroid replacement medication. On this basis, and aligning to UK Government advice we therefore deem that patients with adrenal insufficiency are within the higher risk group. </w:t>
      </w:r>
    </w:p>
    <w:p w14:paraId="7687ABFE" w14:textId="77777777" w:rsidR="004A0D61" w:rsidRPr="004A0D61" w:rsidRDefault="004A0D61" w:rsidP="004A0D61">
      <w:pPr>
        <w:rPr>
          <w:rFonts w:eastAsia="Arial" w:cs="Arial"/>
          <w:bCs/>
          <w:color w:val="auto"/>
          <w:sz w:val="27"/>
          <w:szCs w:val="27"/>
        </w:rPr>
      </w:pPr>
    </w:p>
    <w:p w14:paraId="50446C30" w14:textId="77777777" w:rsidR="004A0D61" w:rsidRPr="004A0D61" w:rsidRDefault="004A0D61" w:rsidP="004A0D61">
      <w:pPr>
        <w:rPr>
          <w:rFonts w:eastAsia="Arial" w:cs="Arial"/>
          <w:bCs/>
          <w:color w:val="auto"/>
          <w:sz w:val="27"/>
          <w:szCs w:val="27"/>
        </w:rPr>
      </w:pPr>
      <w:r w:rsidRPr="004A0D61">
        <w:rPr>
          <w:rFonts w:eastAsia="Arial" w:cs="Arial"/>
          <w:bCs/>
          <w:color w:val="auto"/>
          <w:sz w:val="27"/>
          <w:szCs w:val="27"/>
        </w:rPr>
        <w:t>Patients with adrenal insufficiency are:</w:t>
      </w:r>
    </w:p>
    <w:p w14:paraId="4DDE3060" w14:textId="77777777" w:rsidR="004A0D61" w:rsidRPr="004A0D61" w:rsidRDefault="004A0D61" w:rsidP="004A0D61">
      <w:pPr>
        <w:rPr>
          <w:rFonts w:eastAsia="Arial" w:cs="Arial"/>
          <w:bCs/>
          <w:color w:val="auto"/>
          <w:sz w:val="27"/>
          <w:szCs w:val="27"/>
        </w:rPr>
      </w:pPr>
    </w:p>
    <w:p w14:paraId="6BF73D89" w14:textId="77777777" w:rsidR="004A0D61" w:rsidRPr="004A0D61" w:rsidRDefault="004A0D61" w:rsidP="004A0D61">
      <w:pPr>
        <w:pStyle w:val="ListParagraph"/>
        <w:numPr>
          <w:ilvl w:val="0"/>
          <w:numId w:val="8"/>
        </w:numPr>
        <w:rPr>
          <w:rFonts w:eastAsia="Arial" w:cs="Arial"/>
          <w:bCs/>
          <w:sz w:val="27"/>
          <w:szCs w:val="27"/>
        </w:rPr>
      </w:pPr>
      <w:r w:rsidRPr="004A0D61">
        <w:rPr>
          <w:rFonts w:eastAsia="Arial" w:cs="Arial"/>
          <w:bCs/>
          <w:sz w:val="27"/>
          <w:szCs w:val="27"/>
        </w:rPr>
        <w:t xml:space="preserve">Strongly advised against social mixing in the community </w:t>
      </w:r>
    </w:p>
    <w:p w14:paraId="07009FAB" w14:textId="77777777" w:rsidR="004A0D61" w:rsidRPr="004A0D61" w:rsidRDefault="004A0D61" w:rsidP="004A0D61">
      <w:pPr>
        <w:pStyle w:val="ListParagraph"/>
        <w:numPr>
          <w:ilvl w:val="0"/>
          <w:numId w:val="8"/>
        </w:numPr>
        <w:rPr>
          <w:rFonts w:eastAsia="Arial" w:cs="Arial"/>
          <w:bCs/>
          <w:sz w:val="27"/>
          <w:szCs w:val="27"/>
        </w:rPr>
      </w:pPr>
      <w:r w:rsidRPr="004A0D61">
        <w:rPr>
          <w:rFonts w:eastAsia="Arial" w:cs="Arial"/>
          <w:bCs/>
          <w:sz w:val="27"/>
          <w:szCs w:val="27"/>
        </w:rPr>
        <w:t>Strongly advised against having friends and family to the house</w:t>
      </w:r>
    </w:p>
    <w:p w14:paraId="3DFA1001" w14:textId="77777777" w:rsidR="004A0D61" w:rsidRPr="004A0D61" w:rsidRDefault="004A0D61" w:rsidP="004A0D61">
      <w:pPr>
        <w:pStyle w:val="ListParagraph"/>
        <w:numPr>
          <w:ilvl w:val="0"/>
          <w:numId w:val="8"/>
        </w:numPr>
        <w:rPr>
          <w:rFonts w:eastAsia="Arial" w:cs="Arial"/>
          <w:bCs/>
          <w:sz w:val="27"/>
          <w:szCs w:val="27"/>
        </w:rPr>
      </w:pPr>
      <w:r w:rsidRPr="004A0D61">
        <w:rPr>
          <w:rFonts w:eastAsia="Arial" w:cs="Arial"/>
          <w:bCs/>
          <w:sz w:val="27"/>
          <w:szCs w:val="27"/>
        </w:rPr>
        <w:t>Strongly advised to use remote access to NHS and essential services</w:t>
      </w:r>
    </w:p>
    <w:p w14:paraId="3D44C8A3" w14:textId="77777777" w:rsidR="004A0D61" w:rsidRPr="004A0D61" w:rsidRDefault="004A0D61" w:rsidP="004A0D61">
      <w:pPr>
        <w:pStyle w:val="ListParagraph"/>
        <w:numPr>
          <w:ilvl w:val="0"/>
          <w:numId w:val="8"/>
        </w:numPr>
        <w:rPr>
          <w:rFonts w:eastAsia="Arial" w:cs="Arial"/>
          <w:bCs/>
          <w:sz w:val="27"/>
          <w:szCs w:val="27"/>
        </w:rPr>
      </w:pPr>
      <w:r w:rsidRPr="004A0D61">
        <w:rPr>
          <w:rFonts w:eastAsia="Arial" w:cs="Arial"/>
          <w:bCs/>
          <w:sz w:val="27"/>
          <w:szCs w:val="27"/>
        </w:rPr>
        <w:t>Strongly advised to vary daily commute and use less public transport</w:t>
      </w:r>
    </w:p>
    <w:p w14:paraId="12D1D9A1" w14:textId="77777777" w:rsidR="004A0D61" w:rsidRPr="004A0D61" w:rsidRDefault="004A0D61" w:rsidP="004A0D61">
      <w:pPr>
        <w:pStyle w:val="ListParagraph"/>
        <w:numPr>
          <w:ilvl w:val="0"/>
          <w:numId w:val="8"/>
        </w:numPr>
        <w:rPr>
          <w:rFonts w:eastAsia="Arial" w:cs="Arial"/>
          <w:bCs/>
          <w:sz w:val="27"/>
          <w:szCs w:val="27"/>
        </w:rPr>
      </w:pPr>
      <w:r w:rsidRPr="004A0D61">
        <w:rPr>
          <w:rFonts w:eastAsia="Arial" w:cs="Arial"/>
          <w:bCs/>
          <w:sz w:val="27"/>
          <w:szCs w:val="27"/>
        </w:rPr>
        <w:t>Strongly advised to work from home</w:t>
      </w:r>
    </w:p>
    <w:p w14:paraId="1796A2BF" w14:textId="77777777" w:rsidR="004A0D61" w:rsidRDefault="004A0D61" w:rsidP="004A0D61"/>
    <w:p w14:paraId="08EE4824" w14:textId="77777777" w:rsidR="004A0D61" w:rsidRPr="001A22B5" w:rsidRDefault="004A0D61" w:rsidP="004A0D61">
      <w:r>
        <w:rPr>
          <w:noProof/>
          <w:lang w:eastAsia="en-GB"/>
        </w:rPr>
        <w:drawing>
          <wp:anchor distT="0" distB="0" distL="114300" distR="114300" simplePos="0" relativeHeight="251659264" behindDoc="1" locked="0" layoutInCell="1" allowOverlap="1" wp14:anchorId="6DA61470" wp14:editId="1CA522FB">
            <wp:simplePos x="0" y="0"/>
            <wp:positionH relativeFrom="column">
              <wp:posOffset>-83820</wp:posOffset>
            </wp:positionH>
            <wp:positionV relativeFrom="paragraph">
              <wp:posOffset>117370</wp:posOffset>
            </wp:positionV>
            <wp:extent cx="713105" cy="890270"/>
            <wp:effectExtent l="0" t="0" r="0" b="5080"/>
            <wp:wrapTight wrapText="bothSides">
              <wp:wrapPolygon edited="0">
                <wp:start x="0" y="0"/>
                <wp:lineTo x="0" y="21261"/>
                <wp:lineTo x="20773" y="21261"/>
                <wp:lineTo x="207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890270"/>
                    </a:xfrm>
                    <a:prstGeom prst="rect">
                      <a:avLst/>
                    </a:prstGeom>
                    <a:noFill/>
                  </pic:spPr>
                </pic:pic>
              </a:graphicData>
            </a:graphic>
            <wp14:sizeRelH relativeFrom="page">
              <wp14:pctWidth>0</wp14:pctWidth>
            </wp14:sizeRelH>
            <wp14:sizeRelV relativeFrom="page">
              <wp14:pctHeight>0</wp14:pctHeight>
            </wp14:sizeRelV>
          </wp:anchor>
        </w:drawing>
      </w:r>
    </w:p>
    <w:p w14:paraId="38523CE2" w14:textId="77777777" w:rsidR="004A0D61" w:rsidRDefault="004A0D61" w:rsidP="004A0D61"/>
    <w:p w14:paraId="3A9E338D" w14:textId="77777777" w:rsidR="004A0D61" w:rsidRDefault="004A0D61" w:rsidP="004A0D61"/>
    <w:p w14:paraId="622C6E5B" w14:textId="77777777" w:rsidR="004A0D61" w:rsidRDefault="004A0D61" w:rsidP="004A0D61"/>
    <w:p w14:paraId="45F67F98" w14:textId="77777777" w:rsidR="004A0D61" w:rsidRPr="00C964CD" w:rsidRDefault="004A0D61" w:rsidP="004A0D61">
      <w:pPr>
        <w:rPr>
          <w:rFonts w:eastAsia="Arial" w:cs="Arial"/>
          <w:bCs/>
          <w:color w:val="auto"/>
          <w:sz w:val="27"/>
          <w:szCs w:val="27"/>
        </w:rPr>
      </w:pPr>
      <w:r w:rsidRPr="00C964CD">
        <w:rPr>
          <w:rFonts w:eastAsia="Arial" w:cs="Arial"/>
          <w:bCs/>
          <w:color w:val="auto"/>
          <w:sz w:val="27"/>
          <w:szCs w:val="27"/>
        </w:rPr>
        <w:t xml:space="preserve">Professor Stephanie </w:t>
      </w:r>
      <w:proofErr w:type="spellStart"/>
      <w:r w:rsidRPr="00C964CD">
        <w:rPr>
          <w:rFonts w:eastAsia="Arial" w:cs="Arial"/>
          <w:bCs/>
          <w:color w:val="auto"/>
          <w:sz w:val="27"/>
          <w:szCs w:val="27"/>
        </w:rPr>
        <w:t>Baldeweg</w:t>
      </w:r>
      <w:proofErr w:type="spellEnd"/>
    </w:p>
    <w:p w14:paraId="1C89CDBA" w14:textId="77777777" w:rsidR="004A0D61" w:rsidRPr="00C964CD" w:rsidRDefault="004A0D61" w:rsidP="004A0D61">
      <w:pPr>
        <w:rPr>
          <w:rFonts w:eastAsia="Arial" w:cs="Arial"/>
          <w:bCs/>
          <w:color w:val="auto"/>
          <w:sz w:val="27"/>
          <w:szCs w:val="27"/>
        </w:rPr>
      </w:pPr>
      <w:r w:rsidRPr="00C964CD">
        <w:rPr>
          <w:rFonts w:eastAsia="Arial" w:cs="Arial"/>
          <w:bCs/>
          <w:color w:val="auto"/>
          <w:sz w:val="27"/>
          <w:szCs w:val="27"/>
        </w:rPr>
        <w:t>Society for Endocrinology Clinical Committee Chair</w:t>
      </w:r>
    </w:p>
    <w:p w14:paraId="7A2A0DEC" w14:textId="2FB6B772" w:rsidR="006D07C3" w:rsidRPr="00C860B2" w:rsidRDefault="006D07C3" w:rsidP="006D07C3">
      <w:pPr>
        <w:rPr>
          <w:color w:val="FF0000"/>
        </w:rPr>
      </w:pPr>
      <w:r w:rsidRPr="00C860B2">
        <w:rPr>
          <w:rFonts w:eastAsia="Arial" w:cs="Arial"/>
          <w:bCs/>
          <w:color w:val="FF0000"/>
          <w:sz w:val="27"/>
          <w:szCs w:val="27"/>
        </w:rPr>
        <w:t xml:space="preserve"> </w:t>
      </w:r>
    </w:p>
    <w:p w14:paraId="1EB72373" w14:textId="77777777" w:rsidR="006D07C3" w:rsidRDefault="006D07C3" w:rsidP="006D07C3">
      <w:pPr>
        <w:rPr>
          <w:rFonts w:eastAsia="Arial" w:cs="Arial"/>
          <w:color w:val="333333"/>
          <w:sz w:val="27"/>
          <w:szCs w:val="27"/>
        </w:rPr>
      </w:pPr>
    </w:p>
    <w:p w14:paraId="20A2994E" w14:textId="6BF151B3" w:rsidR="00E27CD7" w:rsidRPr="00DB6434" w:rsidRDefault="0015339E" w:rsidP="00DB6434">
      <w:pPr>
        <w:rPr>
          <w:sz w:val="20"/>
          <w:szCs w:val="20"/>
        </w:rPr>
      </w:pPr>
    </w:p>
    <w:sectPr w:rsidR="00E27CD7" w:rsidRPr="00DB6434" w:rsidSect="00A27C08">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CC2E6" w14:textId="77777777" w:rsidR="0015339E" w:rsidRDefault="0015339E" w:rsidP="00B4733C">
      <w:r>
        <w:separator/>
      </w:r>
    </w:p>
  </w:endnote>
  <w:endnote w:type="continuationSeparator" w:id="0">
    <w:p w14:paraId="6C593204" w14:textId="77777777" w:rsidR="0015339E" w:rsidRDefault="0015339E"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58C2" w14:textId="21DBCDC0" w:rsidR="00DB6434" w:rsidRDefault="00150CB1">
    <w:pPr>
      <w:pStyle w:val="Footer"/>
    </w:pPr>
    <w:r>
      <w:rPr>
        <w:noProof/>
        <w:lang w:eastAsia="en-GB"/>
      </w:rPr>
      <w:drawing>
        <wp:inline distT="0" distB="0" distL="0" distR="0" wp14:anchorId="0870F2C1" wp14:editId="2284F817">
          <wp:extent cx="7284720" cy="53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E General Footer.eps"/>
                  <pic:cNvPicPr/>
                </pic:nvPicPr>
                <pic:blipFill rotWithShape="1">
                  <a:blip r:embed="rId1">
                    <a:extLst>
                      <a:ext uri="{28A0092B-C50C-407E-A947-70E740481C1C}">
                        <a14:useLocalDpi xmlns:a14="http://schemas.microsoft.com/office/drawing/2010/main" val="0"/>
                      </a:ext>
                    </a:extLst>
                  </a:blip>
                  <a:srcRect t="7250" b="48055"/>
                  <a:stretch/>
                </pic:blipFill>
                <pic:spPr bwMode="auto">
                  <a:xfrm>
                    <a:off x="0" y="0"/>
                    <a:ext cx="7517970" cy="5486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C412B" w14:textId="77777777" w:rsidR="0015339E" w:rsidRDefault="0015339E" w:rsidP="00B4733C">
      <w:r>
        <w:separator/>
      </w:r>
    </w:p>
  </w:footnote>
  <w:footnote w:type="continuationSeparator" w:id="0">
    <w:p w14:paraId="5CD9D60B" w14:textId="77777777" w:rsidR="0015339E" w:rsidRDefault="0015339E"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4A80" w14:textId="283D0E35" w:rsidR="00661894" w:rsidRDefault="00954855">
    <w:pPr>
      <w:pStyle w:val="Heade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79912"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r w:rsidR="00150CB1">
      <w:rPr>
        <w:noProof/>
        <w:lang w:eastAsia="en-GB"/>
      </w:rPr>
      <w:drawing>
        <wp:inline distT="0" distB="0" distL="0" distR="0" wp14:anchorId="4F2DDCB1" wp14:editId="63FF8FF1">
          <wp:extent cx="1842135" cy="493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1">
                    <a:extLst>
                      <a:ext uri="{28A0092B-C50C-407E-A947-70E740481C1C}">
                        <a14:useLocalDpi xmlns:a14="http://schemas.microsoft.com/office/drawing/2010/main" val="0"/>
                      </a:ext>
                    </a:extLst>
                  </a:blip>
                  <a:stretch>
                    <a:fillRect/>
                  </a:stretch>
                </pic:blipFill>
                <pic:spPr>
                  <a:xfrm>
                    <a:off x="0" y="0"/>
                    <a:ext cx="1965558" cy="526097"/>
                  </a:xfrm>
                  <a:prstGeom prst="rect">
                    <a:avLst/>
                  </a:prstGeom>
                </pic:spPr>
              </pic:pic>
            </a:graphicData>
          </a:graphic>
        </wp:inline>
      </w:drawing>
    </w:r>
  </w:p>
  <w:p w14:paraId="211DC0D5" w14:textId="77777777" w:rsidR="00661894" w:rsidRDefault="0066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5E1"/>
    <w:multiLevelType w:val="hybridMultilevel"/>
    <w:tmpl w:val="9CE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A10"/>
    <w:multiLevelType w:val="hybridMultilevel"/>
    <w:tmpl w:val="DC66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C276F"/>
    <w:multiLevelType w:val="hybridMultilevel"/>
    <w:tmpl w:val="5B880396"/>
    <w:lvl w:ilvl="0" w:tplc="5512F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5308F"/>
    <w:multiLevelType w:val="hybridMultilevel"/>
    <w:tmpl w:val="63D44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D69E8"/>
    <w:multiLevelType w:val="hybridMultilevel"/>
    <w:tmpl w:val="678AB978"/>
    <w:lvl w:ilvl="0" w:tplc="CF18492A">
      <w:start w:val="1"/>
      <w:numFmt w:val="bullet"/>
      <w:lvlText w:val=""/>
      <w:lvlJc w:val="left"/>
      <w:pPr>
        <w:ind w:left="720" w:hanging="360"/>
      </w:pPr>
      <w:rPr>
        <w:rFonts w:ascii="Symbol" w:hAnsi="Symbol" w:hint="default"/>
      </w:rPr>
    </w:lvl>
    <w:lvl w:ilvl="1" w:tplc="4BFA2608">
      <w:start w:val="1"/>
      <w:numFmt w:val="bullet"/>
      <w:lvlText w:val="o"/>
      <w:lvlJc w:val="left"/>
      <w:pPr>
        <w:ind w:left="1440" w:hanging="360"/>
      </w:pPr>
      <w:rPr>
        <w:rFonts w:ascii="Courier New" w:hAnsi="Courier New" w:hint="default"/>
      </w:rPr>
    </w:lvl>
    <w:lvl w:ilvl="2" w:tplc="8A58D776">
      <w:start w:val="1"/>
      <w:numFmt w:val="bullet"/>
      <w:lvlText w:val=""/>
      <w:lvlJc w:val="left"/>
      <w:pPr>
        <w:ind w:left="2160" w:hanging="360"/>
      </w:pPr>
      <w:rPr>
        <w:rFonts w:ascii="Wingdings" w:hAnsi="Wingdings" w:hint="default"/>
      </w:rPr>
    </w:lvl>
    <w:lvl w:ilvl="3" w:tplc="73CAB12E">
      <w:start w:val="1"/>
      <w:numFmt w:val="bullet"/>
      <w:lvlText w:val=""/>
      <w:lvlJc w:val="left"/>
      <w:pPr>
        <w:ind w:left="2880" w:hanging="360"/>
      </w:pPr>
      <w:rPr>
        <w:rFonts w:ascii="Symbol" w:hAnsi="Symbol" w:hint="default"/>
      </w:rPr>
    </w:lvl>
    <w:lvl w:ilvl="4" w:tplc="AA60A6C0">
      <w:start w:val="1"/>
      <w:numFmt w:val="bullet"/>
      <w:lvlText w:val="o"/>
      <w:lvlJc w:val="left"/>
      <w:pPr>
        <w:ind w:left="3600" w:hanging="360"/>
      </w:pPr>
      <w:rPr>
        <w:rFonts w:ascii="Courier New" w:hAnsi="Courier New" w:hint="default"/>
      </w:rPr>
    </w:lvl>
    <w:lvl w:ilvl="5" w:tplc="C0FE8CF0">
      <w:start w:val="1"/>
      <w:numFmt w:val="bullet"/>
      <w:lvlText w:val=""/>
      <w:lvlJc w:val="left"/>
      <w:pPr>
        <w:ind w:left="4320" w:hanging="360"/>
      </w:pPr>
      <w:rPr>
        <w:rFonts w:ascii="Wingdings" w:hAnsi="Wingdings" w:hint="default"/>
      </w:rPr>
    </w:lvl>
    <w:lvl w:ilvl="6" w:tplc="58788C86">
      <w:start w:val="1"/>
      <w:numFmt w:val="bullet"/>
      <w:lvlText w:val=""/>
      <w:lvlJc w:val="left"/>
      <w:pPr>
        <w:ind w:left="5040" w:hanging="360"/>
      </w:pPr>
      <w:rPr>
        <w:rFonts w:ascii="Symbol" w:hAnsi="Symbol" w:hint="default"/>
      </w:rPr>
    </w:lvl>
    <w:lvl w:ilvl="7" w:tplc="777E8910">
      <w:start w:val="1"/>
      <w:numFmt w:val="bullet"/>
      <w:lvlText w:val="o"/>
      <w:lvlJc w:val="left"/>
      <w:pPr>
        <w:ind w:left="5760" w:hanging="360"/>
      </w:pPr>
      <w:rPr>
        <w:rFonts w:ascii="Courier New" w:hAnsi="Courier New" w:hint="default"/>
      </w:rPr>
    </w:lvl>
    <w:lvl w:ilvl="8" w:tplc="D4D8E564">
      <w:start w:val="1"/>
      <w:numFmt w:val="bullet"/>
      <w:lvlText w:val=""/>
      <w:lvlJc w:val="left"/>
      <w:pPr>
        <w:ind w:left="6480" w:hanging="360"/>
      </w:pPr>
      <w:rPr>
        <w:rFonts w:ascii="Wingdings" w:hAnsi="Wingdings" w:hint="default"/>
      </w:rPr>
    </w:lvl>
  </w:abstractNum>
  <w:abstractNum w:abstractNumId="5" w15:restartNumberingAfterBreak="0">
    <w:nsid w:val="5FF17BA9"/>
    <w:multiLevelType w:val="hybridMultilevel"/>
    <w:tmpl w:val="C004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57A33"/>
    <w:multiLevelType w:val="hybridMultilevel"/>
    <w:tmpl w:val="7C1C9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97160"/>
    <w:multiLevelType w:val="hybridMultilevel"/>
    <w:tmpl w:val="DB7EE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3"/>
    <w:rsid w:val="000755BF"/>
    <w:rsid w:val="0009045D"/>
    <w:rsid w:val="001222EC"/>
    <w:rsid w:val="00131F84"/>
    <w:rsid w:val="00150B3F"/>
    <w:rsid w:val="00150CB1"/>
    <w:rsid w:val="0015339E"/>
    <w:rsid w:val="001F3FB8"/>
    <w:rsid w:val="002227B3"/>
    <w:rsid w:val="0025786C"/>
    <w:rsid w:val="003623AC"/>
    <w:rsid w:val="00384AEC"/>
    <w:rsid w:val="004879E4"/>
    <w:rsid w:val="004A0D61"/>
    <w:rsid w:val="005B2260"/>
    <w:rsid w:val="006007AD"/>
    <w:rsid w:val="00661894"/>
    <w:rsid w:val="006D07C3"/>
    <w:rsid w:val="007341EF"/>
    <w:rsid w:val="007A5B2B"/>
    <w:rsid w:val="00813C7F"/>
    <w:rsid w:val="00872F8C"/>
    <w:rsid w:val="009124B3"/>
    <w:rsid w:val="00930CA3"/>
    <w:rsid w:val="00954855"/>
    <w:rsid w:val="00A02464"/>
    <w:rsid w:val="00A15BE0"/>
    <w:rsid w:val="00A27C08"/>
    <w:rsid w:val="00A61355"/>
    <w:rsid w:val="00B4733C"/>
    <w:rsid w:val="00B96364"/>
    <w:rsid w:val="00C964CD"/>
    <w:rsid w:val="00D417AA"/>
    <w:rsid w:val="00D67052"/>
    <w:rsid w:val="00DB5F5C"/>
    <w:rsid w:val="00DB6434"/>
    <w:rsid w:val="00EC3AA7"/>
    <w:rsid w:val="00F11748"/>
    <w:rsid w:val="00F2171A"/>
    <w:rsid w:val="00FC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A86"/>
  <w14:defaultImageDpi w14:val="32767"/>
  <w15:docId w15:val="{52A4979B-E36F-437D-A295-2F55212C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semiHidden/>
    <w:unhideWhenUsed/>
    <w:rsid w:val="00D417AA"/>
    <w:rPr>
      <w:color w:val="0000FF"/>
      <w:u w:val="single"/>
    </w:rPr>
  </w:style>
  <w:style w:type="paragraph" w:customStyle="1" w:styleId="Default">
    <w:name w:val="Default"/>
    <w:rsid w:val="00A15BE0"/>
    <w:pPr>
      <w:widowControl w:val="0"/>
      <w:autoSpaceDE w:val="0"/>
      <w:autoSpaceDN w:val="0"/>
      <w:adjustRightInd w:val="0"/>
    </w:pPr>
    <w:rPr>
      <w:rFonts w:ascii="Book Antiqua" w:eastAsiaTheme="minorEastAsia" w:hAnsi="Book Antiqua" w:cs="Book Antiqua"/>
      <w:color w:val="000000"/>
      <w:lang w:val="en-US"/>
    </w:rPr>
  </w:style>
  <w:style w:type="paragraph" w:styleId="NormalWeb">
    <w:name w:val="Normal (Web)"/>
    <w:basedOn w:val="Normal"/>
    <w:uiPriority w:val="99"/>
    <w:semiHidden/>
    <w:unhideWhenUsed/>
    <w:rsid w:val="006D07C3"/>
    <w:pPr>
      <w:spacing w:before="100" w:beforeAutospacing="1" w:after="100" w:afterAutospacing="1"/>
    </w:pPr>
    <w:rPr>
      <w:rFonts w:ascii="Times New Roman" w:eastAsia="Times New Roman" w:hAnsi="Times New Roman" w:cs="Times New Roman"/>
      <w:color w:val="auto"/>
      <w:sz w:val="24"/>
      <w:lang w:eastAsia="en-GB"/>
    </w:rPr>
  </w:style>
  <w:style w:type="paragraph" w:styleId="ListParagraph">
    <w:name w:val="List Paragraph"/>
    <w:basedOn w:val="Normal"/>
    <w:uiPriority w:val="34"/>
    <w:qFormat/>
    <w:rsid w:val="006D07C3"/>
    <w:pPr>
      <w:spacing w:after="160" w:line="259" w:lineRule="auto"/>
      <w:ind w:left="720"/>
      <w:contextualSpacing/>
    </w:pPr>
    <w:rPr>
      <w:rFonts w:asciiTheme="minorHAnsi"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Lynsey Forsyth</cp:lastModifiedBy>
  <cp:revision>2</cp:revision>
  <cp:lastPrinted>2018-07-16T12:57:00Z</cp:lastPrinted>
  <dcterms:created xsi:type="dcterms:W3CDTF">2020-03-19T09:55:00Z</dcterms:created>
  <dcterms:modified xsi:type="dcterms:W3CDTF">2020-03-19T09:55:00Z</dcterms:modified>
</cp:coreProperties>
</file>