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75C0" w14:textId="77777777" w:rsidR="00F21CB0" w:rsidRPr="00F21CB0" w:rsidRDefault="00F21CB0" w:rsidP="00F21CB0">
      <w:pPr>
        <w:rPr>
          <w:sz w:val="20"/>
          <w:szCs w:val="20"/>
        </w:rPr>
      </w:pPr>
    </w:p>
    <w:p w14:paraId="776A2C20" w14:textId="11FB0152" w:rsidR="00F21CB0" w:rsidRPr="00F21CB0" w:rsidRDefault="00F21CB0" w:rsidP="00F21CB0">
      <w:pPr>
        <w:jc w:val="center"/>
        <w:rPr>
          <w:b/>
          <w:sz w:val="32"/>
          <w:szCs w:val="32"/>
        </w:rPr>
      </w:pPr>
      <w:r w:rsidRPr="00F21CB0">
        <w:rPr>
          <w:b/>
          <w:sz w:val="32"/>
          <w:szCs w:val="32"/>
        </w:rPr>
        <w:t>Society for Endocrinology Position Statement on the Use of Synthetic ACTH (</w:t>
      </w:r>
      <w:proofErr w:type="spellStart"/>
      <w:r w:rsidRPr="00F21CB0">
        <w:rPr>
          <w:b/>
          <w:sz w:val="32"/>
          <w:szCs w:val="32"/>
        </w:rPr>
        <w:t>Synacthen</w:t>
      </w:r>
      <w:proofErr w:type="spellEnd"/>
      <w:r w:rsidRPr="00F21CB0">
        <w:rPr>
          <w:b/>
          <w:sz w:val="32"/>
          <w:szCs w:val="32"/>
        </w:rPr>
        <w:t>) in Patients with a History of Asthma</w:t>
      </w:r>
    </w:p>
    <w:p w14:paraId="3F2BBE9D" w14:textId="77777777" w:rsidR="00F21CB0" w:rsidRPr="00F21CB0" w:rsidRDefault="00F21CB0" w:rsidP="00F21CB0">
      <w:pPr>
        <w:rPr>
          <w:sz w:val="20"/>
          <w:szCs w:val="20"/>
        </w:rPr>
      </w:pPr>
    </w:p>
    <w:p w14:paraId="0C3C5199" w14:textId="77777777" w:rsidR="00F21CB0" w:rsidRPr="00F21CB0" w:rsidRDefault="00F21CB0" w:rsidP="00F21CB0">
      <w:pPr>
        <w:rPr>
          <w:sz w:val="20"/>
          <w:szCs w:val="20"/>
        </w:rPr>
      </w:pPr>
    </w:p>
    <w:p w14:paraId="011315C8" w14:textId="77777777" w:rsidR="00F21CB0" w:rsidRPr="00F21CB0" w:rsidRDefault="00F21CB0" w:rsidP="00F21CB0">
      <w:pPr>
        <w:rPr>
          <w:szCs w:val="22"/>
        </w:rPr>
      </w:pPr>
      <w:r w:rsidRPr="00F21CB0">
        <w:rPr>
          <w:szCs w:val="22"/>
        </w:rPr>
        <w:t xml:space="preserve">Assessment of the hypothalamic-pituitary-adrenal axis (HPAA) is one of the most important tasks of the endocrinologist involved in the care of patients with pituitary disease. While the insulin tolerance test (ITT) is still considered to be the gold standard, the requirement for constant clinical oversight, plus the small but significant risks, has led to the adrenocorticotrophic hormone (ACTH) stimulation test being the most popular form of rapid HPAA assessment in most units (1). It is also frequently used in the investigation of primary adrenal failure, although measurement of basal cortisol and ACTH levels may reduce the value of its use in this situation. In its usual format, 0.25mg synthetic </w:t>
      </w:r>
      <w:proofErr w:type="gramStart"/>
      <w:r w:rsidRPr="00F21CB0">
        <w:rPr>
          <w:szCs w:val="22"/>
        </w:rPr>
        <w:t>ACTH[</w:t>
      </w:r>
      <w:proofErr w:type="gramEnd"/>
      <w:r w:rsidRPr="00F21CB0">
        <w:rPr>
          <w:szCs w:val="22"/>
        </w:rPr>
        <w:t>1-24] (</w:t>
      </w:r>
      <w:proofErr w:type="spellStart"/>
      <w:r w:rsidRPr="00F21CB0">
        <w:rPr>
          <w:szCs w:val="22"/>
        </w:rPr>
        <w:t>Synacthen</w:t>
      </w:r>
      <w:proofErr w:type="spellEnd"/>
      <w:r w:rsidRPr="00F21CB0">
        <w:rPr>
          <w:szCs w:val="22"/>
        </w:rPr>
        <w:t xml:space="preserve">, </w:t>
      </w:r>
      <w:proofErr w:type="spellStart"/>
      <w:r w:rsidRPr="00F21CB0">
        <w:rPr>
          <w:szCs w:val="22"/>
        </w:rPr>
        <w:t>Cosyntropin</w:t>
      </w:r>
      <w:proofErr w:type="spellEnd"/>
      <w:r w:rsidRPr="00F21CB0">
        <w:rPr>
          <w:szCs w:val="22"/>
        </w:rPr>
        <w:t xml:space="preserve">) is injected intra-muscularly (or rarely iv) and cortisol measured basally and at 30 minutes (less commonly also at 60 minutes). Except in the early period following pituitary surgery (or soon after onset of pituitary apoplexy), the peak 30 minute serum cortisol is closely correlated with the results of the ITT, although normative values are assay-dependent. The test is also used, and is useful, in investigating the endogenous cortisol reserve in patients on current or previous corticosteroid therapy, such as those with chronic respiratory or </w:t>
      </w:r>
      <w:proofErr w:type="spellStart"/>
      <w:r w:rsidRPr="00F21CB0">
        <w:rPr>
          <w:szCs w:val="22"/>
        </w:rPr>
        <w:t>rheumatological</w:t>
      </w:r>
      <w:proofErr w:type="spellEnd"/>
      <w:r w:rsidRPr="00F21CB0">
        <w:rPr>
          <w:szCs w:val="22"/>
        </w:rPr>
        <w:t xml:space="preserve"> disease, and is also frequently used (less usefully) in intensive care units. </w:t>
      </w:r>
    </w:p>
    <w:p w14:paraId="543739CD" w14:textId="77777777" w:rsidR="00F21CB0" w:rsidRPr="00F21CB0" w:rsidRDefault="00F21CB0" w:rsidP="00F21CB0">
      <w:pPr>
        <w:rPr>
          <w:szCs w:val="22"/>
        </w:rPr>
      </w:pPr>
    </w:p>
    <w:p w14:paraId="65B14463" w14:textId="77777777" w:rsidR="00F21CB0" w:rsidRPr="00F21CB0" w:rsidRDefault="00F21CB0" w:rsidP="00F21CB0">
      <w:pPr>
        <w:rPr>
          <w:szCs w:val="22"/>
        </w:rPr>
      </w:pPr>
      <w:r w:rsidRPr="00F21CB0">
        <w:rPr>
          <w:szCs w:val="22"/>
        </w:rPr>
        <w:t xml:space="preserve">While the </w:t>
      </w:r>
      <w:proofErr w:type="spellStart"/>
      <w:r w:rsidRPr="00F21CB0">
        <w:rPr>
          <w:szCs w:val="22"/>
        </w:rPr>
        <w:t>Synacthen</w:t>
      </w:r>
      <w:proofErr w:type="spellEnd"/>
      <w:r w:rsidRPr="00F21CB0">
        <w:rPr>
          <w:szCs w:val="22"/>
        </w:rPr>
        <w:t xml:space="preserve"> test appears to be safe and well–tolerated in the vast majority of patients, there were early reports of severe allergic reactions, including one death, following the use of synthetic ACTH in patients with allergic tendencies. This has led to the data sheet for </w:t>
      </w:r>
      <w:proofErr w:type="spellStart"/>
      <w:r w:rsidRPr="00F21CB0">
        <w:rPr>
          <w:szCs w:val="22"/>
        </w:rPr>
        <w:t>Synacthen</w:t>
      </w:r>
      <w:proofErr w:type="spellEnd"/>
      <w:r w:rsidRPr="00F21CB0">
        <w:rPr>
          <w:szCs w:val="22"/>
        </w:rPr>
        <w:t xml:space="preserve"> in the UK to advise that “patients who are also susceptible to allergies (especially asthma) should not be treated with </w:t>
      </w:r>
      <w:proofErr w:type="spellStart"/>
      <w:r w:rsidRPr="00F21CB0">
        <w:rPr>
          <w:szCs w:val="22"/>
        </w:rPr>
        <w:t>Synacthen</w:t>
      </w:r>
      <w:proofErr w:type="spellEnd"/>
      <w:r w:rsidRPr="00F21CB0">
        <w:rPr>
          <w:szCs w:val="22"/>
        </w:rPr>
        <w:t xml:space="preserve"> unless other therapeutic measures have failed to elicit the desired response and the condition is severe enough to warrant such medication”. In spite of this, in the UK the awareness of such adverse events is highly variable. Some endocrinologists always enquire for a history of asthma and avoid the use of </w:t>
      </w:r>
      <w:proofErr w:type="spellStart"/>
      <w:r w:rsidRPr="00F21CB0">
        <w:rPr>
          <w:szCs w:val="22"/>
        </w:rPr>
        <w:t>Synacthen</w:t>
      </w:r>
      <w:proofErr w:type="spellEnd"/>
      <w:r w:rsidRPr="00F21CB0">
        <w:rPr>
          <w:szCs w:val="22"/>
        </w:rPr>
        <w:t xml:space="preserve"> in any patient with any such history, others avoid its use only when the asthma is severe and on-going, while yet others use </w:t>
      </w:r>
      <w:proofErr w:type="spellStart"/>
      <w:r w:rsidRPr="00F21CB0">
        <w:rPr>
          <w:szCs w:val="22"/>
        </w:rPr>
        <w:t>Synacthen</w:t>
      </w:r>
      <w:proofErr w:type="spellEnd"/>
      <w:r w:rsidRPr="00F21CB0">
        <w:rPr>
          <w:szCs w:val="22"/>
        </w:rPr>
        <w:t xml:space="preserve"> regardless of any history of asthma; indeed, the </w:t>
      </w:r>
      <w:proofErr w:type="spellStart"/>
      <w:r w:rsidRPr="00F21CB0">
        <w:rPr>
          <w:szCs w:val="22"/>
        </w:rPr>
        <w:t>Synacthen</w:t>
      </w:r>
      <w:proofErr w:type="spellEnd"/>
      <w:r w:rsidRPr="00F21CB0">
        <w:rPr>
          <w:szCs w:val="22"/>
        </w:rPr>
        <w:t xml:space="preserve"> test has been extensively used in patients with asthma on inhaled corticosteroids to assess HPAA suppression – apparently without ill effect (2). This clearly chaotic situation is unsatisfactory, and we believe it is appropriate to provide advice on the use of </w:t>
      </w:r>
      <w:proofErr w:type="spellStart"/>
      <w:r w:rsidRPr="00F21CB0">
        <w:rPr>
          <w:szCs w:val="22"/>
        </w:rPr>
        <w:t>Synacthen</w:t>
      </w:r>
      <w:proofErr w:type="spellEnd"/>
      <w:r w:rsidRPr="00F21CB0">
        <w:rPr>
          <w:szCs w:val="22"/>
        </w:rPr>
        <w:t xml:space="preserve">. </w:t>
      </w:r>
    </w:p>
    <w:p w14:paraId="5C998A3E" w14:textId="77777777" w:rsidR="00F21CB0" w:rsidRPr="00F21CB0" w:rsidRDefault="00F21CB0" w:rsidP="00F21CB0">
      <w:pPr>
        <w:rPr>
          <w:szCs w:val="22"/>
        </w:rPr>
      </w:pPr>
    </w:p>
    <w:p w14:paraId="0959452B" w14:textId="77777777" w:rsidR="00F21CB0" w:rsidRPr="00F21CB0" w:rsidRDefault="00F21CB0" w:rsidP="00F21CB0">
      <w:pPr>
        <w:rPr>
          <w:szCs w:val="22"/>
        </w:rPr>
      </w:pPr>
      <w:r w:rsidRPr="00F21CB0">
        <w:rPr>
          <w:szCs w:val="22"/>
        </w:rPr>
        <w:t xml:space="preserve">To our knowledge, there are no published deaths attributable to synthetic ACTH that have been published since 1972. </w:t>
      </w:r>
      <w:proofErr w:type="spellStart"/>
      <w:r w:rsidRPr="00F21CB0">
        <w:rPr>
          <w:szCs w:val="22"/>
        </w:rPr>
        <w:t>Synacthen</w:t>
      </w:r>
      <w:proofErr w:type="spellEnd"/>
      <w:r w:rsidRPr="00F21CB0">
        <w:rPr>
          <w:szCs w:val="22"/>
        </w:rPr>
        <w:t xml:space="preserve"> consists of synthetic </w:t>
      </w:r>
      <w:proofErr w:type="gramStart"/>
      <w:r w:rsidRPr="00F21CB0">
        <w:rPr>
          <w:szCs w:val="22"/>
        </w:rPr>
        <w:t>ACTH[</w:t>
      </w:r>
      <w:proofErr w:type="gramEnd"/>
      <w:r w:rsidRPr="00F21CB0">
        <w:rPr>
          <w:szCs w:val="22"/>
        </w:rPr>
        <w:t xml:space="preserve">1-24] plus diluents. It is difficult to attribute any adverse effect following administration of a truncated form of an endogenous peptide to that peptide, as it is improbable that </w:t>
      </w:r>
      <w:proofErr w:type="gramStart"/>
      <w:r w:rsidRPr="00F21CB0">
        <w:rPr>
          <w:szCs w:val="22"/>
        </w:rPr>
        <w:t>ACTH[</w:t>
      </w:r>
      <w:proofErr w:type="gramEnd"/>
      <w:r w:rsidRPr="00F21CB0">
        <w:rPr>
          <w:szCs w:val="22"/>
        </w:rPr>
        <w:t xml:space="preserve">1-24] is immunogenic. It is possible that the early deaths attributable to ACTH administration were related to the diluents used at that time. It is remarkable that no severe adverse events have been reported over the subsequent 40 years, when many thousands of doses of </w:t>
      </w:r>
      <w:proofErr w:type="spellStart"/>
      <w:r w:rsidRPr="00F21CB0">
        <w:rPr>
          <w:szCs w:val="22"/>
        </w:rPr>
        <w:t>Synacthen</w:t>
      </w:r>
      <w:proofErr w:type="spellEnd"/>
      <w:r w:rsidRPr="00F21CB0">
        <w:rPr>
          <w:szCs w:val="22"/>
        </w:rPr>
        <w:t xml:space="preserve"> have been administered: for example, the Birmingham team reported no adverse events following some 5000 administered doses (3). We also note the apparent safety of </w:t>
      </w:r>
      <w:proofErr w:type="spellStart"/>
      <w:r w:rsidRPr="00F21CB0">
        <w:rPr>
          <w:szCs w:val="22"/>
        </w:rPr>
        <w:t>Synacthen</w:t>
      </w:r>
      <w:proofErr w:type="spellEnd"/>
      <w:r w:rsidRPr="00F21CB0">
        <w:rPr>
          <w:szCs w:val="22"/>
        </w:rPr>
        <w:t xml:space="preserve"> when used in studies of patients with asthma (2). In addition, a series of </w:t>
      </w:r>
      <w:proofErr w:type="spellStart"/>
      <w:r w:rsidRPr="00F21CB0">
        <w:rPr>
          <w:szCs w:val="22"/>
        </w:rPr>
        <w:t>Synacthen</w:t>
      </w:r>
      <w:proofErr w:type="spellEnd"/>
      <w:r w:rsidRPr="00F21CB0">
        <w:rPr>
          <w:szCs w:val="22"/>
        </w:rPr>
        <w:t xml:space="preserve"> tests (albeit at the low 1μg dose) were undertaken in more than 500 children with asthma and no serious adverse events were reported (4). Under such circumstances, we believe it is unreasonable and unnecessary to automatically avoid the use of </w:t>
      </w:r>
      <w:proofErr w:type="spellStart"/>
      <w:r w:rsidRPr="00F21CB0">
        <w:rPr>
          <w:szCs w:val="22"/>
        </w:rPr>
        <w:t>Synacthen</w:t>
      </w:r>
      <w:proofErr w:type="spellEnd"/>
      <w:r w:rsidRPr="00F21CB0">
        <w:rPr>
          <w:szCs w:val="22"/>
        </w:rPr>
        <w:t xml:space="preserve"> in patients with a history of asthma or related disorders. </w:t>
      </w:r>
    </w:p>
    <w:p w14:paraId="40BF3187" w14:textId="77777777" w:rsidR="00F21CB0" w:rsidRPr="00F21CB0" w:rsidRDefault="00F21CB0" w:rsidP="00F21CB0">
      <w:pPr>
        <w:rPr>
          <w:szCs w:val="22"/>
        </w:rPr>
      </w:pPr>
    </w:p>
    <w:p w14:paraId="01DBD6A6" w14:textId="77777777" w:rsidR="00F21CB0" w:rsidRPr="00F21CB0" w:rsidRDefault="00F21CB0" w:rsidP="00F21CB0">
      <w:pPr>
        <w:rPr>
          <w:szCs w:val="22"/>
        </w:rPr>
      </w:pPr>
      <w:r w:rsidRPr="00F21CB0">
        <w:rPr>
          <w:szCs w:val="22"/>
        </w:rPr>
        <w:t xml:space="preserve">We would nevertheless recommend that: </w:t>
      </w:r>
    </w:p>
    <w:p w14:paraId="69C6402C" w14:textId="77777777" w:rsidR="00F21CB0" w:rsidRPr="00F21CB0" w:rsidRDefault="00F21CB0" w:rsidP="00F21CB0">
      <w:pPr>
        <w:rPr>
          <w:szCs w:val="22"/>
        </w:rPr>
      </w:pPr>
      <w:r w:rsidRPr="00F21CB0">
        <w:rPr>
          <w:szCs w:val="22"/>
        </w:rPr>
        <w:t>•</w:t>
      </w:r>
      <w:r w:rsidRPr="00F21CB0">
        <w:rPr>
          <w:szCs w:val="22"/>
        </w:rPr>
        <w:tab/>
      </w:r>
      <w:proofErr w:type="gramStart"/>
      <w:r w:rsidRPr="00F21CB0">
        <w:rPr>
          <w:szCs w:val="22"/>
        </w:rPr>
        <w:t>a</w:t>
      </w:r>
      <w:proofErr w:type="gramEnd"/>
      <w:r w:rsidRPr="00F21CB0">
        <w:rPr>
          <w:szCs w:val="22"/>
        </w:rPr>
        <w:t xml:space="preserve"> history of asthma or other allergic disorders be taken and noted </w:t>
      </w:r>
    </w:p>
    <w:p w14:paraId="7598B5B8" w14:textId="77777777" w:rsidR="00F21CB0" w:rsidRPr="00F21CB0" w:rsidRDefault="00F21CB0" w:rsidP="00F21CB0">
      <w:pPr>
        <w:rPr>
          <w:szCs w:val="22"/>
        </w:rPr>
      </w:pPr>
      <w:r w:rsidRPr="00F21CB0">
        <w:rPr>
          <w:szCs w:val="22"/>
        </w:rPr>
        <w:t>•</w:t>
      </w:r>
      <w:r w:rsidRPr="00F21CB0">
        <w:rPr>
          <w:szCs w:val="22"/>
        </w:rPr>
        <w:tab/>
      </w:r>
      <w:proofErr w:type="gramStart"/>
      <w:r w:rsidRPr="00F21CB0">
        <w:rPr>
          <w:szCs w:val="22"/>
        </w:rPr>
        <w:t>resuscitation</w:t>
      </w:r>
      <w:proofErr w:type="gramEnd"/>
      <w:r w:rsidRPr="00F21CB0">
        <w:rPr>
          <w:szCs w:val="22"/>
        </w:rPr>
        <w:t xml:space="preserve"> equipment relevant to the treatment of anaphylaxis be available for patients where this history is present (</w:t>
      </w:r>
      <w:proofErr w:type="spellStart"/>
      <w:r w:rsidRPr="00F21CB0">
        <w:rPr>
          <w:szCs w:val="22"/>
        </w:rPr>
        <w:t>Synacthen</w:t>
      </w:r>
      <w:proofErr w:type="spellEnd"/>
      <w:r w:rsidRPr="00F21CB0">
        <w:rPr>
          <w:szCs w:val="22"/>
        </w:rPr>
        <w:t xml:space="preserve"> tests should not be performed where such equipment is unavailable for these patients, and where clinical staff are inexperienced in the treatment of anaphylaxis)</w:t>
      </w:r>
    </w:p>
    <w:p w14:paraId="7E804D99" w14:textId="77777777" w:rsidR="00F21CB0" w:rsidRPr="00F21CB0" w:rsidRDefault="00F21CB0" w:rsidP="00F21CB0">
      <w:pPr>
        <w:rPr>
          <w:szCs w:val="22"/>
        </w:rPr>
      </w:pPr>
      <w:r w:rsidRPr="00F21CB0">
        <w:rPr>
          <w:szCs w:val="22"/>
        </w:rPr>
        <w:lastRenderedPageBreak/>
        <w:t>•</w:t>
      </w:r>
      <w:r w:rsidRPr="00F21CB0">
        <w:rPr>
          <w:szCs w:val="22"/>
        </w:rPr>
        <w:tab/>
      </w:r>
      <w:proofErr w:type="gramStart"/>
      <w:r w:rsidRPr="00F21CB0">
        <w:rPr>
          <w:szCs w:val="22"/>
        </w:rPr>
        <w:t>patients</w:t>
      </w:r>
      <w:proofErr w:type="gramEnd"/>
      <w:r w:rsidRPr="00F21CB0">
        <w:rPr>
          <w:szCs w:val="22"/>
        </w:rPr>
        <w:t xml:space="preserve"> be questioned as to whether they have had a previous untoward reaction to </w:t>
      </w:r>
      <w:proofErr w:type="spellStart"/>
      <w:r w:rsidRPr="00F21CB0">
        <w:rPr>
          <w:szCs w:val="22"/>
        </w:rPr>
        <w:t>Synacthen</w:t>
      </w:r>
      <w:proofErr w:type="spellEnd"/>
      <w:r w:rsidRPr="00F21CB0">
        <w:rPr>
          <w:szCs w:val="22"/>
        </w:rPr>
        <w:t>, and that its use be avoided where such reactions have occurred</w:t>
      </w:r>
    </w:p>
    <w:p w14:paraId="4BF2B3A5" w14:textId="77777777" w:rsidR="00F21CB0" w:rsidRPr="00F21CB0" w:rsidRDefault="00F21CB0" w:rsidP="00F21CB0">
      <w:pPr>
        <w:rPr>
          <w:szCs w:val="22"/>
        </w:rPr>
      </w:pPr>
      <w:bookmarkStart w:id="0" w:name="_GoBack"/>
      <w:bookmarkEnd w:id="0"/>
    </w:p>
    <w:p w14:paraId="38E29829" w14:textId="77777777" w:rsidR="00F21CB0" w:rsidRPr="00F21CB0" w:rsidRDefault="00F21CB0" w:rsidP="00F21CB0">
      <w:pPr>
        <w:rPr>
          <w:szCs w:val="22"/>
        </w:rPr>
      </w:pPr>
      <w:r w:rsidRPr="00F21CB0">
        <w:rPr>
          <w:szCs w:val="22"/>
        </w:rPr>
        <w:t xml:space="preserve">We appreciate that such recommendations have a poor evidence base, but are offered so as to allow the widespread use of this helpful investigative tool while minimising the risk of potential rare complications. </w:t>
      </w:r>
    </w:p>
    <w:p w14:paraId="67F420DA" w14:textId="77777777" w:rsidR="00F21CB0" w:rsidRPr="00F21CB0" w:rsidRDefault="00F21CB0" w:rsidP="00F21CB0">
      <w:pPr>
        <w:rPr>
          <w:szCs w:val="22"/>
        </w:rPr>
      </w:pPr>
    </w:p>
    <w:p w14:paraId="1B9D41BC" w14:textId="77777777" w:rsidR="00F21CB0" w:rsidRPr="00F21CB0" w:rsidRDefault="00F21CB0" w:rsidP="00F21CB0">
      <w:pPr>
        <w:rPr>
          <w:szCs w:val="22"/>
        </w:rPr>
      </w:pPr>
      <w:r w:rsidRPr="00F21CB0">
        <w:rPr>
          <w:szCs w:val="22"/>
        </w:rPr>
        <w:t xml:space="preserve">This position statement has been revised and updated by </w:t>
      </w:r>
      <w:proofErr w:type="spellStart"/>
      <w:r w:rsidRPr="00F21CB0">
        <w:rPr>
          <w:szCs w:val="22"/>
        </w:rPr>
        <w:t>Prof.</w:t>
      </w:r>
      <w:proofErr w:type="spellEnd"/>
      <w:r w:rsidRPr="00F21CB0">
        <w:rPr>
          <w:szCs w:val="22"/>
        </w:rPr>
        <w:t xml:space="preserve"> Jeremy Tomlinson (University of Oxford) and Prof Roland Stimson (University of Edinburgh) in March 2020 and is based upon the original position statement published by Professor Ashley Grossman (University of Oxford) in September 2011. This information is provided and endorsed by the Society for Endocrinology’s Clinical Committee. </w:t>
      </w:r>
    </w:p>
    <w:p w14:paraId="7AEF8A68" w14:textId="77777777" w:rsidR="00F21CB0" w:rsidRPr="00F21CB0" w:rsidRDefault="00F21CB0" w:rsidP="00F21CB0">
      <w:pPr>
        <w:rPr>
          <w:szCs w:val="22"/>
        </w:rPr>
      </w:pPr>
    </w:p>
    <w:p w14:paraId="529DB210" w14:textId="77777777" w:rsidR="00F21CB0" w:rsidRPr="00F21CB0" w:rsidRDefault="00F21CB0" w:rsidP="00F21CB0">
      <w:pPr>
        <w:rPr>
          <w:szCs w:val="22"/>
        </w:rPr>
      </w:pPr>
    </w:p>
    <w:p w14:paraId="06C4FA70" w14:textId="77777777" w:rsidR="00F21CB0" w:rsidRPr="00F21CB0" w:rsidRDefault="00F21CB0" w:rsidP="00F21CB0">
      <w:pPr>
        <w:rPr>
          <w:szCs w:val="22"/>
        </w:rPr>
      </w:pPr>
      <w:r w:rsidRPr="00F21CB0">
        <w:rPr>
          <w:szCs w:val="22"/>
        </w:rPr>
        <w:t>References</w:t>
      </w:r>
    </w:p>
    <w:p w14:paraId="4DC8605F" w14:textId="77777777" w:rsidR="00F21CB0" w:rsidRPr="00F21CB0" w:rsidRDefault="00F21CB0" w:rsidP="00F21CB0">
      <w:pPr>
        <w:rPr>
          <w:szCs w:val="22"/>
        </w:rPr>
      </w:pPr>
    </w:p>
    <w:p w14:paraId="1B25F382" w14:textId="77777777" w:rsidR="00F21CB0" w:rsidRPr="00F21CB0" w:rsidRDefault="00F21CB0" w:rsidP="00F21CB0">
      <w:pPr>
        <w:rPr>
          <w:szCs w:val="22"/>
        </w:rPr>
      </w:pPr>
      <w:r w:rsidRPr="00F21CB0">
        <w:rPr>
          <w:szCs w:val="22"/>
        </w:rPr>
        <w:tab/>
        <w:t xml:space="preserve">1. </w:t>
      </w:r>
      <w:r w:rsidRPr="00F21CB0">
        <w:rPr>
          <w:szCs w:val="22"/>
        </w:rPr>
        <w:tab/>
        <w:t xml:space="preserve">Grossman AB. The diagnosis and management of central </w:t>
      </w:r>
      <w:proofErr w:type="spellStart"/>
      <w:r w:rsidRPr="00F21CB0">
        <w:rPr>
          <w:szCs w:val="22"/>
        </w:rPr>
        <w:t>hypoadrenalism</w:t>
      </w:r>
      <w:proofErr w:type="spellEnd"/>
      <w:r w:rsidRPr="00F21CB0">
        <w:rPr>
          <w:szCs w:val="22"/>
        </w:rPr>
        <w:t xml:space="preserve">. J </w:t>
      </w:r>
      <w:proofErr w:type="spellStart"/>
      <w:r w:rsidRPr="00F21CB0">
        <w:rPr>
          <w:szCs w:val="22"/>
        </w:rPr>
        <w:t>Clin</w:t>
      </w:r>
      <w:proofErr w:type="spellEnd"/>
      <w:r w:rsidRPr="00F21CB0">
        <w:rPr>
          <w:szCs w:val="22"/>
        </w:rPr>
        <w:t xml:space="preserve"> </w:t>
      </w:r>
      <w:proofErr w:type="spellStart"/>
      <w:r w:rsidRPr="00F21CB0">
        <w:rPr>
          <w:szCs w:val="22"/>
        </w:rPr>
        <w:t>Endocrinol</w:t>
      </w:r>
      <w:proofErr w:type="spellEnd"/>
      <w:r w:rsidRPr="00F21CB0">
        <w:rPr>
          <w:szCs w:val="22"/>
        </w:rPr>
        <w:t xml:space="preserve"> </w:t>
      </w:r>
      <w:proofErr w:type="spellStart"/>
      <w:r w:rsidRPr="00F21CB0">
        <w:rPr>
          <w:szCs w:val="22"/>
        </w:rPr>
        <w:t>Metab</w:t>
      </w:r>
      <w:proofErr w:type="spellEnd"/>
      <w:r w:rsidRPr="00F21CB0">
        <w:rPr>
          <w:szCs w:val="22"/>
        </w:rPr>
        <w:t xml:space="preserve"> 2010; 95(11):4855-4863.</w:t>
      </w:r>
    </w:p>
    <w:p w14:paraId="19FB7149" w14:textId="77777777" w:rsidR="00F21CB0" w:rsidRPr="00F21CB0" w:rsidRDefault="00F21CB0" w:rsidP="00F21CB0">
      <w:pPr>
        <w:rPr>
          <w:szCs w:val="22"/>
        </w:rPr>
      </w:pPr>
      <w:r w:rsidRPr="00F21CB0">
        <w:rPr>
          <w:szCs w:val="22"/>
        </w:rPr>
        <w:tab/>
        <w:t xml:space="preserve">2. </w:t>
      </w:r>
      <w:r w:rsidRPr="00F21CB0">
        <w:rPr>
          <w:szCs w:val="22"/>
        </w:rPr>
        <w:tab/>
      </w:r>
      <w:proofErr w:type="spellStart"/>
      <w:r w:rsidRPr="00F21CB0">
        <w:rPr>
          <w:szCs w:val="22"/>
        </w:rPr>
        <w:t>Wlodarczyk</w:t>
      </w:r>
      <w:proofErr w:type="spellEnd"/>
      <w:r w:rsidRPr="00F21CB0">
        <w:rPr>
          <w:szCs w:val="22"/>
        </w:rPr>
        <w:t xml:space="preserve"> JH, Gibson PG, </w:t>
      </w:r>
      <w:proofErr w:type="spellStart"/>
      <w:r w:rsidRPr="00F21CB0">
        <w:rPr>
          <w:szCs w:val="22"/>
        </w:rPr>
        <w:t>Caeser</w:t>
      </w:r>
      <w:proofErr w:type="spellEnd"/>
      <w:r w:rsidRPr="00F21CB0">
        <w:rPr>
          <w:szCs w:val="22"/>
        </w:rPr>
        <w:t xml:space="preserve"> M. Impact of inhaled corticosteroids on cortisol suppression in adults with asthma: a quantitative review. Ann Allergy Asthma </w:t>
      </w:r>
      <w:proofErr w:type="spellStart"/>
      <w:r w:rsidRPr="00F21CB0">
        <w:rPr>
          <w:szCs w:val="22"/>
        </w:rPr>
        <w:t>Immunol</w:t>
      </w:r>
      <w:proofErr w:type="spellEnd"/>
      <w:r w:rsidRPr="00F21CB0">
        <w:rPr>
          <w:szCs w:val="22"/>
        </w:rPr>
        <w:t xml:space="preserve"> 2008; 100(1):23-30.</w:t>
      </w:r>
    </w:p>
    <w:p w14:paraId="5E35B3B1" w14:textId="77777777" w:rsidR="00F21CB0" w:rsidRPr="00F21CB0" w:rsidRDefault="00F21CB0" w:rsidP="00F21CB0">
      <w:pPr>
        <w:rPr>
          <w:szCs w:val="22"/>
        </w:rPr>
      </w:pPr>
      <w:r w:rsidRPr="00F21CB0">
        <w:rPr>
          <w:szCs w:val="22"/>
        </w:rPr>
        <w:tab/>
        <w:t xml:space="preserve">3. </w:t>
      </w:r>
      <w:r w:rsidRPr="00F21CB0">
        <w:rPr>
          <w:szCs w:val="22"/>
        </w:rPr>
        <w:tab/>
        <w:t xml:space="preserve">Agha A, Tomlinson JW, Clark PM, Holder G, Stewart PM. The long-term predictive accuracy of the short </w:t>
      </w:r>
      <w:proofErr w:type="spellStart"/>
      <w:r w:rsidRPr="00F21CB0">
        <w:rPr>
          <w:szCs w:val="22"/>
        </w:rPr>
        <w:t>synacthen</w:t>
      </w:r>
      <w:proofErr w:type="spellEnd"/>
      <w:r w:rsidRPr="00F21CB0">
        <w:rPr>
          <w:szCs w:val="22"/>
        </w:rPr>
        <w:t xml:space="preserve"> (</w:t>
      </w:r>
      <w:proofErr w:type="spellStart"/>
      <w:r w:rsidRPr="00F21CB0">
        <w:rPr>
          <w:szCs w:val="22"/>
        </w:rPr>
        <w:t>corticotropin</w:t>
      </w:r>
      <w:proofErr w:type="spellEnd"/>
      <w:r w:rsidRPr="00F21CB0">
        <w:rPr>
          <w:szCs w:val="22"/>
        </w:rPr>
        <w:t xml:space="preserve">) stimulation test for assessment of the hypothalamic-pituitary-adrenal axis. J </w:t>
      </w:r>
      <w:proofErr w:type="spellStart"/>
      <w:r w:rsidRPr="00F21CB0">
        <w:rPr>
          <w:szCs w:val="22"/>
        </w:rPr>
        <w:t>Clin</w:t>
      </w:r>
      <w:proofErr w:type="spellEnd"/>
      <w:r w:rsidRPr="00F21CB0">
        <w:rPr>
          <w:szCs w:val="22"/>
        </w:rPr>
        <w:t xml:space="preserve"> </w:t>
      </w:r>
      <w:proofErr w:type="spellStart"/>
      <w:r w:rsidRPr="00F21CB0">
        <w:rPr>
          <w:szCs w:val="22"/>
        </w:rPr>
        <w:t>Endocrinol</w:t>
      </w:r>
      <w:proofErr w:type="spellEnd"/>
      <w:r w:rsidRPr="00F21CB0">
        <w:rPr>
          <w:szCs w:val="22"/>
        </w:rPr>
        <w:t xml:space="preserve"> </w:t>
      </w:r>
      <w:proofErr w:type="spellStart"/>
      <w:r w:rsidRPr="00F21CB0">
        <w:rPr>
          <w:szCs w:val="22"/>
        </w:rPr>
        <w:t>Metab</w:t>
      </w:r>
      <w:proofErr w:type="spellEnd"/>
      <w:r w:rsidRPr="00F21CB0">
        <w:rPr>
          <w:szCs w:val="22"/>
        </w:rPr>
        <w:t xml:space="preserve"> 2006; 91(1):43-47.</w:t>
      </w:r>
    </w:p>
    <w:p w14:paraId="4D3B73A7" w14:textId="77777777" w:rsidR="00F21CB0" w:rsidRPr="00F21CB0" w:rsidRDefault="00F21CB0" w:rsidP="00F21CB0">
      <w:pPr>
        <w:rPr>
          <w:szCs w:val="22"/>
        </w:rPr>
      </w:pPr>
      <w:r w:rsidRPr="00F21CB0">
        <w:rPr>
          <w:szCs w:val="22"/>
        </w:rPr>
        <w:tab/>
        <w:t xml:space="preserve">4. </w:t>
      </w:r>
      <w:r w:rsidRPr="00F21CB0">
        <w:rPr>
          <w:szCs w:val="22"/>
        </w:rPr>
        <w:tab/>
      </w:r>
      <w:proofErr w:type="spellStart"/>
      <w:r w:rsidRPr="00F21CB0">
        <w:rPr>
          <w:szCs w:val="22"/>
        </w:rPr>
        <w:t>Hawcutt</w:t>
      </w:r>
      <w:proofErr w:type="spellEnd"/>
      <w:r w:rsidRPr="00F21CB0">
        <w:rPr>
          <w:szCs w:val="22"/>
        </w:rPr>
        <w:t xml:space="preserve"> DB, Jorgensen AL, </w:t>
      </w:r>
      <w:proofErr w:type="spellStart"/>
      <w:r w:rsidRPr="00F21CB0">
        <w:rPr>
          <w:szCs w:val="22"/>
        </w:rPr>
        <w:t>Wallin</w:t>
      </w:r>
      <w:proofErr w:type="spellEnd"/>
      <w:r w:rsidRPr="00F21CB0">
        <w:rPr>
          <w:szCs w:val="22"/>
        </w:rPr>
        <w:t xml:space="preserve"> N et al. Adrenal responses to a low-dose short </w:t>
      </w:r>
      <w:proofErr w:type="spellStart"/>
      <w:r w:rsidRPr="00F21CB0">
        <w:rPr>
          <w:szCs w:val="22"/>
        </w:rPr>
        <w:t>synacthen</w:t>
      </w:r>
      <w:proofErr w:type="spellEnd"/>
      <w:r w:rsidRPr="00F21CB0">
        <w:rPr>
          <w:szCs w:val="22"/>
        </w:rPr>
        <w:t xml:space="preserve"> test in children with asthma. </w:t>
      </w:r>
      <w:proofErr w:type="spellStart"/>
      <w:r w:rsidRPr="00F21CB0">
        <w:rPr>
          <w:szCs w:val="22"/>
        </w:rPr>
        <w:t>Clin</w:t>
      </w:r>
      <w:proofErr w:type="spellEnd"/>
      <w:r w:rsidRPr="00F21CB0">
        <w:rPr>
          <w:szCs w:val="22"/>
        </w:rPr>
        <w:t xml:space="preserve"> </w:t>
      </w:r>
      <w:proofErr w:type="spellStart"/>
      <w:r w:rsidRPr="00F21CB0">
        <w:rPr>
          <w:szCs w:val="22"/>
        </w:rPr>
        <w:t>Endocrinol</w:t>
      </w:r>
      <w:proofErr w:type="spellEnd"/>
      <w:r w:rsidRPr="00F21CB0">
        <w:rPr>
          <w:szCs w:val="22"/>
        </w:rPr>
        <w:t xml:space="preserve"> (</w:t>
      </w:r>
      <w:proofErr w:type="spellStart"/>
      <w:r w:rsidRPr="00F21CB0">
        <w:rPr>
          <w:szCs w:val="22"/>
        </w:rPr>
        <w:t>Oxf</w:t>
      </w:r>
      <w:proofErr w:type="spellEnd"/>
      <w:r w:rsidRPr="00F21CB0">
        <w:rPr>
          <w:szCs w:val="22"/>
        </w:rPr>
        <w:t>) 2015; 82(5):648-656.</w:t>
      </w:r>
    </w:p>
    <w:p w14:paraId="7CD0AC26" w14:textId="77777777" w:rsidR="00F21CB0" w:rsidRPr="00F21CB0" w:rsidRDefault="00F21CB0" w:rsidP="00F21CB0">
      <w:pPr>
        <w:rPr>
          <w:szCs w:val="22"/>
        </w:rPr>
      </w:pPr>
    </w:p>
    <w:p w14:paraId="20A2994E" w14:textId="6BF151B3" w:rsidR="00E27CD7" w:rsidRPr="00F21CB0" w:rsidRDefault="00F21CB0" w:rsidP="00DB6434">
      <w:pPr>
        <w:rPr>
          <w:szCs w:val="22"/>
        </w:rPr>
      </w:pPr>
    </w:p>
    <w:sectPr w:rsidR="00E27CD7" w:rsidRPr="00F21CB0" w:rsidSect="00A27C08">
      <w:headerReference w:type="default" r:id="rId7"/>
      <w:footerReference w:type="default" r:id="rId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B1753" w14:textId="77777777" w:rsidR="001F3FB8" w:rsidRDefault="001F3FB8" w:rsidP="00B4733C">
      <w:r>
        <w:separator/>
      </w:r>
    </w:p>
  </w:endnote>
  <w:endnote w:type="continuationSeparator" w:id="0">
    <w:p w14:paraId="0626993D" w14:textId="77777777" w:rsidR="001F3FB8" w:rsidRDefault="001F3FB8"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58C2" w14:textId="21DBCDC0"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529AA" w14:textId="77777777" w:rsidR="001F3FB8" w:rsidRDefault="001F3FB8" w:rsidP="00B4733C">
      <w:r>
        <w:separator/>
      </w:r>
    </w:p>
  </w:footnote>
  <w:footnote w:type="continuationSeparator" w:id="0">
    <w:p w14:paraId="5C72C77A" w14:textId="77777777" w:rsidR="001F3FB8" w:rsidRDefault="001F3FB8"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4A80" w14:textId="283D0E35"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FA48"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r w:rsidR="00150CB1">
      <w:rPr>
        <w:noProof/>
        <w:lang w:eastAsia="en-GB"/>
      </w:rPr>
      <w:drawing>
        <wp:inline distT="0" distB="0" distL="0" distR="0" wp14:anchorId="4F2DDCB1" wp14:editId="63FF8FF1">
          <wp:extent cx="1842135" cy="493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14:paraId="211DC0D5" w14:textId="77777777" w:rsidR="00661894" w:rsidRDefault="0066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55E1"/>
    <w:multiLevelType w:val="hybridMultilevel"/>
    <w:tmpl w:val="9CE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C276F"/>
    <w:multiLevelType w:val="hybridMultilevel"/>
    <w:tmpl w:val="5B880396"/>
    <w:lvl w:ilvl="0" w:tplc="5512F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57A33"/>
    <w:multiLevelType w:val="hybridMultilevel"/>
    <w:tmpl w:val="7C1C9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D97160"/>
    <w:multiLevelType w:val="hybridMultilevel"/>
    <w:tmpl w:val="DB7EE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3"/>
    <w:rsid w:val="000755BF"/>
    <w:rsid w:val="001222EC"/>
    <w:rsid w:val="00131F84"/>
    <w:rsid w:val="00150B3F"/>
    <w:rsid w:val="00150CB1"/>
    <w:rsid w:val="001F3FB8"/>
    <w:rsid w:val="002227B3"/>
    <w:rsid w:val="0025786C"/>
    <w:rsid w:val="003623AC"/>
    <w:rsid w:val="00384AEC"/>
    <w:rsid w:val="005B2260"/>
    <w:rsid w:val="006007AD"/>
    <w:rsid w:val="00661894"/>
    <w:rsid w:val="007341EF"/>
    <w:rsid w:val="00813C7F"/>
    <w:rsid w:val="00872F8C"/>
    <w:rsid w:val="009124B3"/>
    <w:rsid w:val="00954855"/>
    <w:rsid w:val="00A02464"/>
    <w:rsid w:val="00A15BE0"/>
    <w:rsid w:val="00A27C08"/>
    <w:rsid w:val="00A61355"/>
    <w:rsid w:val="00B4733C"/>
    <w:rsid w:val="00B96364"/>
    <w:rsid w:val="00D417AA"/>
    <w:rsid w:val="00D67052"/>
    <w:rsid w:val="00DB5F5C"/>
    <w:rsid w:val="00DB6434"/>
    <w:rsid w:val="00EC3AA7"/>
    <w:rsid w:val="00F11748"/>
    <w:rsid w:val="00F2171A"/>
    <w:rsid w:val="00F21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17AE965C-7955-4BA7-A45F-5382DC58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semiHidden/>
    <w:unhideWhenUsed/>
    <w:rsid w:val="00D417AA"/>
    <w:rPr>
      <w:color w:val="0000FF"/>
      <w:u w:val="single"/>
    </w:rPr>
  </w:style>
  <w:style w:type="paragraph" w:customStyle="1" w:styleId="Default">
    <w:name w:val="Default"/>
    <w:rsid w:val="00A15BE0"/>
    <w:pPr>
      <w:widowControl w:val="0"/>
      <w:autoSpaceDE w:val="0"/>
      <w:autoSpaceDN w:val="0"/>
      <w:adjustRightInd w:val="0"/>
    </w:pPr>
    <w:rPr>
      <w:rFonts w:ascii="Book Antiqua" w:eastAsiaTheme="minorEastAsia" w:hAnsi="Book Antiqua" w:cs="Book Antiqu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Zoe Plummer</cp:lastModifiedBy>
  <cp:revision>2</cp:revision>
  <cp:lastPrinted>2018-07-16T12:57:00Z</cp:lastPrinted>
  <dcterms:created xsi:type="dcterms:W3CDTF">2020-05-13T10:47:00Z</dcterms:created>
  <dcterms:modified xsi:type="dcterms:W3CDTF">2020-05-13T10:47:00Z</dcterms:modified>
</cp:coreProperties>
</file>