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18B6" w14:textId="44080777" w:rsidR="006C397C" w:rsidRPr="006C219B" w:rsidRDefault="006C397C" w:rsidP="00155957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6C219B">
        <w:rPr>
          <w:rFonts w:asciiTheme="majorBidi" w:hAnsiTheme="majorBidi" w:cstheme="majorBidi"/>
          <w:b/>
          <w:bCs/>
          <w:sz w:val="28"/>
          <w:szCs w:val="28"/>
          <w:lang w:val="en-GB"/>
        </w:rPr>
        <w:t>TITLE PAGE</w:t>
      </w:r>
    </w:p>
    <w:p w14:paraId="03134AA2" w14:textId="77777777" w:rsidR="00155957" w:rsidRPr="00155957" w:rsidRDefault="00155957" w:rsidP="00155957">
      <w:pPr>
        <w:spacing w:line="480" w:lineRule="auto"/>
        <w:rPr>
          <w:rFonts w:asciiTheme="majorBidi" w:hAnsiTheme="majorBidi" w:cstheme="majorBidi"/>
          <w:b/>
          <w:bCs/>
          <w:u w:val="single"/>
          <w:lang w:val="en-GB"/>
        </w:rPr>
      </w:pPr>
    </w:p>
    <w:p w14:paraId="5C765E2F" w14:textId="77777777" w:rsidR="00155957" w:rsidRPr="00155957" w:rsidRDefault="006C397C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>Article category</w:t>
      </w:r>
    </w:p>
    <w:p w14:paraId="60986366" w14:textId="31E5EB08" w:rsidR="006C397C" w:rsidRPr="00155957" w:rsidRDefault="006C397C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lang w:val="en-GB"/>
        </w:rPr>
        <w:t>Clinical guideline</w:t>
      </w:r>
    </w:p>
    <w:p w14:paraId="2CDE7E5B" w14:textId="77777777" w:rsidR="00155957" w:rsidRPr="00155957" w:rsidRDefault="00155957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</w:p>
    <w:p w14:paraId="3BA3831C" w14:textId="4F7A9622" w:rsidR="00D57E61" w:rsidRPr="00155957" w:rsidRDefault="006C397C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>Title</w:t>
      </w:r>
    </w:p>
    <w:p w14:paraId="01FF1AF3" w14:textId="5722E723" w:rsidR="00155957" w:rsidRDefault="003C3913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3C3913">
        <w:rPr>
          <w:rFonts w:asciiTheme="majorBidi" w:hAnsiTheme="majorBidi" w:cstheme="majorBidi"/>
          <w:lang w:val="en-GB"/>
        </w:rPr>
        <w:t>Society for Endocrinology guidelines for the treatment of male hypogonadism</w:t>
      </w:r>
    </w:p>
    <w:p w14:paraId="3C9A17D0" w14:textId="77777777" w:rsidR="003C3913" w:rsidRDefault="003C3913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</w:p>
    <w:p w14:paraId="6769B14D" w14:textId="15373529" w:rsidR="00D57E61" w:rsidRPr="00155957" w:rsidRDefault="006C397C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>Authors</w:t>
      </w:r>
    </w:p>
    <w:p w14:paraId="126FCE7F" w14:textId="7123EBFD" w:rsidR="006C397C" w:rsidRPr="00155957" w:rsidRDefault="006C397C" w:rsidP="00155957">
      <w:pPr>
        <w:spacing w:line="480" w:lineRule="auto"/>
        <w:rPr>
          <w:rFonts w:asciiTheme="majorBidi" w:hAnsiTheme="majorBidi" w:cstheme="majorBidi"/>
          <w:lang w:val="en-GB"/>
        </w:rPr>
      </w:pPr>
      <w:proofErr w:type="spellStart"/>
      <w:r w:rsidRPr="00155957">
        <w:rPr>
          <w:rFonts w:asciiTheme="majorBidi" w:hAnsiTheme="majorBidi" w:cstheme="majorBidi"/>
          <w:lang w:val="en-GB"/>
        </w:rPr>
        <w:t>Channa</w:t>
      </w:r>
      <w:proofErr w:type="spellEnd"/>
      <w:r w:rsidRPr="00155957">
        <w:rPr>
          <w:rFonts w:asciiTheme="majorBidi" w:hAnsiTheme="majorBidi" w:cstheme="majorBidi"/>
          <w:lang w:val="en-GB"/>
        </w:rPr>
        <w:t xml:space="preserve"> N. Jayasena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1</w:t>
      </w:r>
      <w:r w:rsidRPr="00155957">
        <w:rPr>
          <w:rFonts w:asciiTheme="majorBidi" w:hAnsiTheme="majorBidi" w:cstheme="majorBidi"/>
          <w:lang w:val="en-GB"/>
        </w:rPr>
        <w:t>, Richard A Anderson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2</w:t>
      </w:r>
      <w:r w:rsidRPr="00155957">
        <w:rPr>
          <w:rFonts w:asciiTheme="majorBidi" w:hAnsiTheme="majorBidi" w:cstheme="majorBidi"/>
          <w:lang w:val="en-GB"/>
        </w:rPr>
        <w:t>, Sofia Llahana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3</w:t>
      </w:r>
      <w:r w:rsidRPr="00155957">
        <w:rPr>
          <w:rFonts w:asciiTheme="majorBidi" w:hAnsiTheme="majorBidi" w:cstheme="majorBidi"/>
          <w:lang w:val="en-GB"/>
        </w:rPr>
        <w:t>, Julian H</w:t>
      </w:r>
      <w:r w:rsidR="00D57E61" w:rsidRPr="00155957">
        <w:rPr>
          <w:rFonts w:asciiTheme="majorBidi" w:hAnsiTheme="majorBidi" w:cstheme="majorBidi"/>
          <w:lang w:val="en-GB"/>
        </w:rPr>
        <w:t>.</w:t>
      </w:r>
      <w:r w:rsidRPr="00155957">
        <w:rPr>
          <w:rFonts w:asciiTheme="majorBidi" w:hAnsiTheme="majorBidi" w:cstheme="majorBidi"/>
          <w:lang w:val="en-GB"/>
        </w:rPr>
        <w:t xml:space="preserve"> Barth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4</w:t>
      </w:r>
      <w:r w:rsidRPr="00155957">
        <w:rPr>
          <w:rFonts w:asciiTheme="majorBidi" w:hAnsiTheme="majorBidi" w:cstheme="majorBidi"/>
          <w:lang w:val="en-GB"/>
        </w:rPr>
        <w:t>, Finlay MacKenzie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5</w:t>
      </w:r>
      <w:r w:rsidRPr="00155957">
        <w:rPr>
          <w:rFonts w:asciiTheme="majorBidi" w:hAnsiTheme="majorBidi" w:cstheme="majorBidi"/>
          <w:lang w:val="en-GB"/>
        </w:rPr>
        <w:t>, Scott Wilkes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6</w:t>
      </w:r>
      <w:r w:rsidRPr="00155957">
        <w:rPr>
          <w:rFonts w:asciiTheme="majorBidi" w:hAnsiTheme="majorBidi" w:cstheme="majorBidi"/>
          <w:lang w:val="en-GB"/>
        </w:rPr>
        <w:t>, Neil Smith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7</w:t>
      </w:r>
      <w:r w:rsidRPr="00155957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155957">
        <w:rPr>
          <w:rFonts w:asciiTheme="majorBidi" w:hAnsiTheme="majorBidi" w:cstheme="majorBidi"/>
          <w:lang w:val="en-GB"/>
        </w:rPr>
        <w:t>Prasanna</w:t>
      </w:r>
      <w:proofErr w:type="spellEnd"/>
      <w:r w:rsidRPr="00155957">
        <w:rPr>
          <w:rFonts w:asciiTheme="majorBidi" w:hAnsiTheme="majorBidi" w:cstheme="majorBidi"/>
          <w:lang w:val="en-GB"/>
        </w:rPr>
        <w:t xml:space="preserve"> Sooriakumaran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8</w:t>
      </w:r>
      <w:r w:rsidRPr="00155957">
        <w:rPr>
          <w:rFonts w:asciiTheme="majorBidi" w:hAnsiTheme="majorBidi" w:cstheme="majorBidi"/>
          <w:lang w:val="en-GB"/>
        </w:rPr>
        <w:t xml:space="preserve">, </w:t>
      </w:r>
      <w:proofErr w:type="spellStart"/>
      <w:r w:rsidRPr="00155957">
        <w:rPr>
          <w:rFonts w:asciiTheme="majorBidi" w:hAnsiTheme="majorBidi" w:cstheme="majorBidi"/>
          <w:lang w:val="en-GB"/>
        </w:rPr>
        <w:t>Sukhbinder</w:t>
      </w:r>
      <w:proofErr w:type="spellEnd"/>
      <w:r w:rsidRPr="00155957">
        <w:rPr>
          <w:rFonts w:asciiTheme="majorBidi" w:hAnsiTheme="majorBidi" w:cstheme="majorBidi"/>
          <w:lang w:val="en-GB"/>
        </w:rPr>
        <w:t xml:space="preserve"> Minhas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9</w:t>
      </w:r>
      <w:r w:rsidRPr="00155957">
        <w:rPr>
          <w:rFonts w:asciiTheme="majorBidi" w:hAnsiTheme="majorBidi" w:cstheme="majorBidi"/>
          <w:lang w:val="en-GB"/>
        </w:rPr>
        <w:t xml:space="preserve">, </w:t>
      </w:r>
      <w:r w:rsidRPr="00155957">
        <w:rPr>
          <w:rFonts w:asciiTheme="majorBidi" w:hAnsiTheme="majorBidi" w:cstheme="majorBidi"/>
          <w:bCs/>
          <w:lang w:val="en-GB"/>
        </w:rPr>
        <w:t>Frederick C.W. Wu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10</w:t>
      </w:r>
      <w:r w:rsidRPr="00155957">
        <w:rPr>
          <w:rFonts w:asciiTheme="majorBidi" w:hAnsiTheme="majorBidi" w:cstheme="majorBidi"/>
          <w:bCs/>
          <w:lang w:val="en-GB"/>
        </w:rPr>
        <w:t>, Jeremy Tomlinson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>11</w:t>
      </w:r>
      <w:r w:rsidR="00D57E61" w:rsidRPr="00155957">
        <w:rPr>
          <w:rFonts w:asciiTheme="majorBidi" w:hAnsiTheme="majorBidi" w:cstheme="majorBidi"/>
          <w:bCs/>
          <w:lang w:val="en-GB"/>
        </w:rPr>
        <w:t>,</w:t>
      </w:r>
      <w:r w:rsidRPr="00155957">
        <w:rPr>
          <w:rFonts w:asciiTheme="majorBidi" w:hAnsiTheme="majorBidi" w:cstheme="majorBidi"/>
          <w:bCs/>
          <w:lang w:val="en-GB"/>
        </w:rPr>
        <w:t xml:space="preserve"> </w:t>
      </w:r>
      <w:r w:rsidRPr="00155957">
        <w:rPr>
          <w:rFonts w:asciiTheme="majorBidi" w:hAnsiTheme="majorBidi" w:cstheme="majorBidi"/>
          <w:lang w:val="en-GB"/>
        </w:rPr>
        <w:t>Richard Quinton</w:t>
      </w:r>
      <w:r w:rsidR="00D57E61" w:rsidRPr="00155957">
        <w:rPr>
          <w:rFonts w:asciiTheme="majorBidi" w:hAnsiTheme="majorBidi" w:cstheme="majorBidi"/>
          <w:vertAlign w:val="superscript"/>
          <w:lang w:val="en-GB"/>
        </w:rPr>
        <w:t xml:space="preserve">12 </w:t>
      </w:r>
    </w:p>
    <w:p w14:paraId="11824B2C" w14:textId="77777777" w:rsidR="00155957" w:rsidRDefault="00155957" w:rsidP="00155957">
      <w:pPr>
        <w:spacing w:line="480" w:lineRule="auto"/>
        <w:outlineLvl w:val="0"/>
        <w:rPr>
          <w:rFonts w:asciiTheme="majorBidi" w:hAnsiTheme="majorBidi" w:cstheme="majorBidi"/>
          <w:b/>
          <w:bCs/>
          <w:lang w:val="en-GB"/>
        </w:rPr>
      </w:pPr>
    </w:p>
    <w:p w14:paraId="63295BBF" w14:textId="32B98078" w:rsidR="006C397C" w:rsidRPr="00155957" w:rsidRDefault="006C397C" w:rsidP="00155957">
      <w:pPr>
        <w:spacing w:line="480" w:lineRule="auto"/>
        <w:outlineLvl w:val="0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>Affiliations</w:t>
      </w:r>
    </w:p>
    <w:p w14:paraId="44B1A3B9" w14:textId="5A325447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bookmarkStart w:id="0" w:name="_Hlk61428071"/>
      <w:r w:rsidRPr="00155957">
        <w:rPr>
          <w:rFonts w:asciiTheme="majorBidi" w:hAnsiTheme="majorBidi" w:cstheme="majorBidi"/>
          <w:vertAlign w:val="superscript"/>
          <w:lang w:val="en-GB"/>
        </w:rPr>
        <w:t>1</w:t>
      </w:r>
      <w:r w:rsidR="006C397C" w:rsidRPr="00155957">
        <w:rPr>
          <w:rFonts w:asciiTheme="majorBidi" w:hAnsiTheme="majorBidi" w:cstheme="majorBidi"/>
          <w:lang w:val="en-GB"/>
        </w:rPr>
        <w:t>Section of Investigative Medicine, Hammersmith Hospital, Imperial College London, London, UK</w:t>
      </w:r>
    </w:p>
    <w:bookmarkEnd w:id="0"/>
    <w:p w14:paraId="6DE2DB47" w14:textId="47639A03" w:rsidR="006C397C" w:rsidRPr="00155957" w:rsidRDefault="00D57E61" w:rsidP="00155957">
      <w:pPr>
        <w:spacing w:line="480" w:lineRule="auto"/>
        <w:outlineLvl w:val="0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2</w:t>
      </w:r>
      <w:r w:rsidR="006C397C" w:rsidRPr="00155957">
        <w:rPr>
          <w:rFonts w:asciiTheme="majorBidi" w:hAnsiTheme="majorBidi" w:cstheme="majorBidi"/>
          <w:lang w:val="en-GB"/>
        </w:rPr>
        <w:t>MRC Centre for Reproductive Health, University of Edinburgh, UK</w:t>
      </w:r>
    </w:p>
    <w:p w14:paraId="3303224A" w14:textId="3401E3BC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3</w:t>
      </w:r>
      <w:r w:rsidR="006C397C" w:rsidRPr="00155957">
        <w:rPr>
          <w:rFonts w:asciiTheme="majorBidi" w:hAnsiTheme="majorBidi" w:cstheme="majorBidi"/>
          <w:lang w:val="en-GB"/>
        </w:rPr>
        <w:t>School of Health Sciences, City, University of London, London</w:t>
      </w:r>
      <w:r w:rsidRPr="00155957">
        <w:rPr>
          <w:rFonts w:asciiTheme="majorBidi" w:hAnsiTheme="majorBidi" w:cstheme="majorBidi"/>
          <w:lang w:val="en-GB"/>
        </w:rPr>
        <w:t xml:space="preserve"> &amp; </w:t>
      </w:r>
      <w:r w:rsidR="006C397C" w:rsidRPr="00155957">
        <w:rPr>
          <w:rFonts w:asciiTheme="majorBidi" w:hAnsiTheme="majorBidi" w:cstheme="majorBidi"/>
          <w:lang w:val="en-GB"/>
        </w:rPr>
        <w:t>Department of Endocrinology&amp; Diabetes, University College London Hospitals (UCLH) NHS Foundation Trust, London, UK</w:t>
      </w:r>
    </w:p>
    <w:p w14:paraId="1A472F27" w14:textId="5A42027F" w:rsidR="006C397C" w:rsidRPr="00155957" w:rsidRDefault="00D57E61" w:rsidP="00155957">
      <w:pPr>
        <w:spacing w:line="480" w:lineRule="auto"/>
        <w:outlineLvl w:val="0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4</w:t>
      </w:r>
      <w:r w:rsidR="006C397C" w:rsidRPr="00155957">
        <w:rPr>
          <w:rFonts w:asciiTheme="majorBidi" w:hAnsiTheme="majorBidi" w:cstheme="majorBidi"/>
          <w:lang w:val="en-GB"/>
        </w:rPr>
        <w:t>Specialist Laboratory Medicine, Leeds Teaching Hospitals NHS Trust, Leeds, UK</w:t>
      </w:r>
    </w:p>
    <w:p w14:paraId="37E89C79" w14:textId="5ED7DCC8" w:rsidR="006C397C" w:rsidRPr="00155957" w:rsidRDefault="00D57E61" w:rsidP="00155957">
      <w:pPr>
        <w:spacing w:line="480" w:lineRule="auto"/>
        <w:outlineLvl w:val="0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5</w:t>
      </w:r>
      <w:r w:rsidR="006C397C" w:rsidRPr="00155957">
        <w:rPr>
          <w:rFonts w:asciiTheme="majorBidi" w:hAnsiTheme="majorBidi" w:cstheme="majorBidi"/>
          <w:lang w:val="en-GB"/>
        </w:rPr>
        <w:t>University Hospitals Birmingham NHS Foundation Trust, Birmingham, UK</w:t>
      </w:r>
    </w:p>
    <w:p w14:paraId="71C7955C" w14:textId="588D78A5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6</w:t>
      </w:r>
      <w:r w:rsidR="006C397C" w:rsidRPr="00155957">
        <w:rPr>
          <w:rFonts w:asciiTheme="majorBidi" w:hAnsiTheme="majorBidi" w:cstheme="majorBidi"/>
          <w:lang w:val="en-GB"/>
        </w:rPr>
        <w:t>School of Medicine, University of Sunderland, Sunderland, UK</w:t>
      </w:r>
    </w:p>
    <w:p w14:paraId="10B9EE99" w14:textId="6CFF26DE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7</w:t>
      </w:r>
      <w:r w:rsidR="006C397C" w:rsidRPr="00155957">
        <w:rPr>
          <w:rFonts w:asciiTheme="majorBidi" w:hAnsiTheme="majorBidi" w:cstheme="majorBidi"/>
          <w:lang w:val="en-GB"/>
        </w:rPr>
        <w:t>Patient member</w:t>
      </w:r>
    </w:p>
    <w:p w14:paraId="480326F1" w14:textId="24377533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lastRenderedPageBreak/>
        <w:t>8</w:t>
      </w:r>
      <w:r w:rsidR="006C397C" w:rsidRPr="00155957">
        <w:rPr>
          <w:rFonts w:asciiTheme="majorBidi" w:hAnsiTheme="majorBidi" w:cstheme="majorBidi"/>
          <w:lang w:val="en-GB"/>
        </w:rPr>
        <w:t xml:space="preserve">Department of </w:t>
      </w:r>
      <w:proofErr w:type="spellStart"/>
      <w:r w:rsidR="006C397C" w:rsidRPr="00155957">
        <w:rPr>
          <w:rFonts w:asciiTheme="majorBidi" w:hAnsiTheme="majorBidi" w:cstheme="majorBidi"/>
          <w:lang w:val="en-GB"/>
        </w:rPr>
        <w:t>Uro</w:t>
      </w:r>
      <w:proofErr w:type="spellEnd"/>
      <w:r w:rsidR="006C397C" w:rsidRPr="00155957">
        <w:rPr>
          <w:rFonts w:asciiTheme="majorBidi" w:hAnsiTheme="majorBidi" w:cstheme="majorBidi"/>
          <w:lang w:val="en-GB"/>
        </w:rPr>
        <w:t>-oncology, UCLH NHS Foundation Trust, London</w:t>
      </w:r>
      <w:r w:rsidRPr="00155957">
        <w:rPr>
          <w:rFonts w:asciiTheme="majorBidi" w:hAnsiTheme="majorBidi" w:cstheme="majorBidi"/>
          <w:lang w:val="en-GB"/>
        </w:rPr>
        <w:t xml:space="preserve"> &amp; </w:t>
      </w:r>
      <w:r w:rsidR="006C397C" w:rsidRPr="00155957">
        <w:rPr>
          <w:rFonts w:asciiTheme="majorBidi" w:hAnsiTheme="majorBidi" w:cstheme="majorBidi"/>
          <w:lang w:val="en-GB"/>
        </w:rPr>
        <w:t>Nuffield Department of Surgical Sciences, University of Oxford, Oxford, UK</w:t>
      </w:r>
    </w:p>
    <w:p w14:paraId="3BF9D0B4" w14:textId="6BC1D561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9</w:t>
      </w:r>
      <w:r w:rsidR="006C397C" w:rsidRPr="00155957">
        <w:rPr>
          <w:rFonts w:asciiTheme="majorBidi" w:hAnsiTheme="majorBidi" w:cstheme="majorBidi"/>
          <w:lang w:val="en-GB"/>
        </w:rPr>
        <w:t>Department of Urology, Charing Cross Hospital, Imperial College Healthcare NHS Trust, London, UK</w:t>
      </w:r>
    </w:p>
    <w:p w14:paraId="79C86B78" w14:textId="05653EE1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10</w:t>
      </w:r>
      <w:r w:rsidR="006C397C" w:rsidRPr="00155957">
        <w:rPr>
          <w:rFonts w:asciiTheme="majorBidi" w:hAnsiTheme="majorBidi" w:cstheme="majorBidi"/>
          <w:lang w:val="en-GB"/>
        </w:rPr>
        <w:t>Division of Endocrinology, Diabetes &amp; Gastroenterology, School of Medical Sciences, Faculty of Biology, Medicine and Health, University of Manchester, Manchester, UK</w:t>
      </w:r>
    </w:p>
    <w:p w14:paraId="18CFD1E2" w14:textId="53956278" w:rsidR="006C397C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11</w:t>
      </w:r>
      <w:r w:rsidR="006C397C" w:rsidRPr="00155957">
        <w:rPr>
          <w:rFonts w:asciiTheme="majorBidi" w:hAnsiTheme="majorBidi" w:cstheme="majorBidi"/>
          <w:lang w:val="en-GB"/>
        </w:rPr>
        <w:t>Oxford Centre for Diabetes, Endocrinology &amp; Metabolism, University of Oxford, Oxford, UK</w:t>
      </w:r>
    </w:p>
    <w:p w14:paraId="264F68F7" w14:textId="77777777" w:rsidR="00155957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12</w:t>
      </w:r>
      <w:r w:rsidR="006C397C" w:rsidRPr="00155957">
        <w:rPr>
          <w:rFonts w:asciiTheme="majorBidi" w:hAnsiTheme="majorBidi" w:cstheme="majorBidi"/>
          <w:lang w:val="en-GB"/>
        </w:rPr>
        <w:t>Department of Endocrinology, Diabetes &amp; Metabolism, Newcastle-upon-Tyne Hospitals NHS Foundation Trust</w:t>
      </w:r>
      <w:r w:rsidRPr="00155957">
        <w:rPr>
          <w:rFonts w:asciiTheme="majorBidi" w:hAnsiTheme="majorBidi" w:cstheme="majorBidi"/>
          <w:lang w:val="en-GB"/>
        </w:rPr>
        <w:t xml:space="preserve"> &amp;</w:t>
      </w:r>
      <w:r w:rsidR="006C397C" w:rsidRPr="00155957">
        <w:rPr>
          <w:rFonts w:asciiTheme="majorBidi" w:hAnsiTheme="majorBidi" w:cstheme="majorBidi"/>
          <w:lang w:val="en-GB"/>
        </w:rPr>
        <w:t xml:space="preserve"> Translational &amp; Clinical Research Institute, University of Newcastle-upon-Tyne</w:t>
      </w:r>
      <w:r w:rsidRPr="00155957">
        <w:rPr>
          <w:rFonts w:asciiTheme="majorBidi" w:hAnsiTheme="majorBidi" w:cstheme="majorBidi"/>
          <w:lang w:val="en-GB"/>
        </w:rPr>
        <w:t>, UK</w:t>
      </w:r>
    </w:p>
    <w:p w14:paraId="36D1614E" w14:textId="77777777" w:rsidR="00155957" w:rsidRDefault="00155957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</w:p>
    <w:p w14:paraId="3D08BA0F" w14:textId="4E8A9DB7" w:rsidR="006C397C" w:rsidRPr="00155957" w:rsidRDefault="006C397C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 xml:space="preserve">Corresponding authors </w:t>
      </w:r>
    </w:p>
    <w:p w14:paraId="7AC2E9D4" w14:textId="77777777" w:rsidR="00F0597D" w:rsidRPr="00155957" w:rsidRDefault="006C397C" w:rsidP="00155957">
      <w:pPr>
        <w:spacing w:line="480" w:lineRule="auto"/>
        <w:rPr>
          <w:rFonts w:asciiTheme="majorBidi" w:hAnsiTheme="majorBidi" w:cstheme="majorBidi"/>
          <w:color w:val="000000" w:themeColor="text1"/>
          <w:lang w:val="en-GB"/>
        </w:rPr>
      </w:pPr>
      <w:r w:rsidRPr="00155957">
        <w:rPr>
          <w:rFonts w:asciiTheme="majorBidi" w:hAnsiTheme="majorBidi" w:cstheme="majorBidi"/>
          <w:lang w:val="en-GB"/>
        </w:rPr>
        <w:t xml:space="preserve">Dr </w:t>
      </w:r>
      <w:proofErr w:type="spellStart"/>
      <w:r w:rsidRPr="00155957">
        <w:rPr>
          <w:rFonts w:asciiTheme="majorBidi" w:hAnsiTheme="majorBidi" w:cstheme="majorBidi"/>
          <w:lang w:val="en-GB"/>
        </w:rPr>
        <w:t>Channa</w:t>
      </w:r>
      <w:proofErr w:type="spellEnd"/>
      <w:r w:rsidRPr="00155957">
        <w:rPr>
          <w:rFonts w:asciiTheme="majorBidi" w:hAnsiTheme="majorBidi" w:cstheme="majorBidi"/>
          <w:lang w:val="en-GB"/>
        </w:rPr>
        <w:t xml:space="preserve"> N. </w:t>
      </w:r>
      <w:proofErr w:type="spellStart"/>
      <w:r w:rsidRPr="00155957">
        <w:rPr>
          <w:rFonts w:asciiTheme="majorBidi" w:hAnsiTheme="majorBidi" w:cstheme="majorBidi"/>
          <w:lang w:val="en-GB"/>
        </w:rPr>
        <w:t>Jayasena</w:t>
      </w:r>
      <w:proofErr w:type="spellEnd"/>
      <w:r w:rsidRPr="00155957">
        <w:rPr>
          <w:rFonts w:asciiTheme="majorBidi" w:hAnsiTheme="majorBidi" w:cstheme="majorBidi"/>
          <w:lang w:val="en-GB"/>
        </w:rPr>
        <w:t>, Section of Investigative Medicine, 6</w:t>
      </w:r>
      <w:r w:rsidRPr="00155957">
        <w:rPr>
          <w:rFonts w:asciiTheme="majorBidi" w:hAnsiTheme="majorBidi" w:cstheme="majorBidi"/>
          <w:vertAlign w:val="superscript"/>
          <w:lang w:val="en-GB"/>
        </w:rPr>
        <w:t>th</w:t>
      </w:r>
      <w:r w:rsidRPr="00155957">
        <w:rPr>
          <w:rFonts w:asciiTheme="majorBidi" w:hAnsiTheme="majorBidi" w:cstheme="majorBidi"/>
          <w:lang w:val="en-GB"/>
        </w:rPr>
        <w:t xml:space="preserve"> Floor Commonwealth Building, Imperial College London, Hammersmith Hospital, Du Cane Road, London W12 0NN, UK </w:t>
      </w:r>
      <w:hyperlink r:id="rId7" w:history="1">
        <w:r w:rsidRPr="00155957">
          <w:rPr>
            <w:rStyle w:val="Hyperlink"/>
            <w:rFonts w:asciiTheme="majorBidi" w:hAnsiTheme="majorBidi" w:cstheme="majorBidi"/>
            <w:lang w:val="en-GB"/>
          </w:rPr>
          <w:t>c.jayasena@imperial.ac.uk</w:t>
        </w:r>
      </w:hyperlink>
    </w:p>
    <w:p w14:paraId="0B0E1C2D" w14:textId="4DD4E0DA" w:rsidR="004174BD" w:rsidRPr="00155957" w:rsidRDefault="004174BD" w:rsidP="00155957">
      <w:pPr>
        <w:spacing w:line="480" w:lineRule="auto"/>
        <w:rPr>
          <w:rFonts w:asciiTheme="majorBidi" w:hAnsiTheme="majorBidi" w:cstheme="majorBidi"/>
          <w:color w:val="000000" w:themeColor="text1"/>
          <w:u w:val="single"/>
          <w:lang w:val="en-GB"/>
        </w:rPr>
      </w:pPr>
      <w:r w:rsidRPr="00155957">
        <w:rPr>
          <w:rFonts w:asciiTheme="majorBidi" w:hAnsiTheme="majorBidi" w:cstheme="majorBidi"/>
          <w:color w:val="000000" w:themeColor="text1"/>
          <w:lang w:val="en-GB"/>
        </w:rPr>
        <w:t>ORCID</w:t>
      </w:r>
      <w:r w:rsidR="00D57E61" w:rsidRPr="00155957">
        <w:rPr>
          <w:rFonts w:asciiTheme="majorBidi" w:hAnsiTheme="majorBidi" w:cstheme="majorBidi"/>
          <w:color w:val="000000" w:themeColor="text1"/>
          <w:lang w:val="en-GB"/>
        </w:rPr>
        <w:t xml:space="preserve">: </w:t>
      </w:r>
      <w:r w:rsidR="00D57E61" w:rsidRPr="00155957">
        <w:rPr>
          <w:rStyle w:val="orcid-id-https"/>
          <w:rFonts w:asciiTheme="majorBidi" w:hAnsiTheme="majorBidi" w:cstheme="majorBidi"/>
          <w:color w:val="000000" w:themeColor="text1"/>
          <w:shd w:val="clear" w:color="auto" w:fill="FFFFFF"/>
        </w:rPr>
        <w:t xml:space="preserve">https://orcid.org/0000-0002-2578-8223 </w:t>
      </w:r>
    </w:p>
    <w:p w14:paraId="4A4D6D73" w14:textId="77777777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p w14:paraId="4DCFA613" w14:textId="7F06FE0E" w:rsidR="006C397C" w:rsidRPr="00155957" w:rsidRDefault="006C397C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lang w:val="en-GB"/>
        </w:rPr>
        <w:t xml:space="preserve">Dr Richard Quinton, Endocrine Unit, </w:t>
      </w:r>
      <w:proofErr w:type="spellStart"/>
      <w:r w:rsidRPr="00155957">
        <w:rPr>
          <w:rFonts w:asciiTheme="majorBidi" w:hAnsiTheme="majorBidi" w:cstheme="majorBidi"/>
          <w:lang w:val="en-GB"/>
        </w:rPr>
        <w:t>Leazes</w:t>
      </w:r>
      <w:proofErr w:type="spellEnd"/>
      <w:r w:rsidRPr="00155957">
        <w:rPr>
          <w:rFonts w:asciiTheme="majorBidi" w:hAnsiTheme="majorBidi" w:cstheme="majorBidi"/>
          <w:lang w:val="en-GB"/>
        </w:rPr>
        <w:t xml:space="preserve"> Wing - Level 6, Royal Victoria Infirmary, Queen Victoria Rd, Newcastle-upon-Tyne, NE1 4LP, UK </w:t>
      </w:r>
      <w:hyperlink r:id="rId8" w:history="1">
        <w:r w:rsidRPr="00155957">
          <w:rPr>
            <w:rStyle w:val="Hyperlink"/>
            <w:rFonts w:asciiTheme="majorBidi" w:hAnsiTheme="majorBidi" w:cstheme="majorBidi"/>
            <w:lang w:val="en-GB"/>
          </w:rPr>
          <w:t>Richard.Quinton@ncl.ac.uk</w:t>
        </w:r>
      </w:hyperlink>
    </w:p>
    <w:p w14:paraId="344E0BCA" w14:textId="1DF08CE8" w:rsidR="006C397C" w:rsidRPr="00155957" w:rsidRDefault="004174BD" w:rsidP="00155957">
      <w:pPr>
        <w:spacing w:line="480" w:lineRule="auto"/>
        <w:rPr>
          <w:rFonts w:asciiTheme="majorBidi" w:hAnsiTheme="majorBidi" w:cstheme="majorBidi"/>
          <w:color w:val="000000" w:themeColor="text1"/>
          <w:lang w:val="en-GB"/>
        </w:rPr>
      </w:pPr>
      <w:r w:rsidRPr="00155957">
        <w:rPr>
          <w:rFonts w:asciiTheme="majorBidi" w:hAnsiTheme="majorBidi" w:cstheme="majorBidi"/>
          <w:color w:val="000000" w:themeColor="text1"/>
          <w:lang w:val="en-GB"/>
        </w:rPr>
        <w:t>ORCID</w:t>
      </w:r>
      <w:r w:rsidR="00F0597D" w:rsidRPr="00155957">
        <w:rPr>
          <w:rFonts w:asciiTheme="majorBidi" w:hAnsiTheme="majorBidi" w:cstheme="majorBidi"/>
          <w:color w:val="000000" w:themeColor="text1"/>
          <w:lang w:val="en-GB"/>
        </w:rPr>
        <w:t xml:space="preserve">: </w:t>
      </w:r>
      <w:r w:rsidR="00F0597D" w:rsidRPr="00155957">
        <w:rPr>
          <w:rFonts w:asciiTheme="majorBidi" w:hAnsiTheme="majorBidi" w:cstheme="majorBidi"/>
          <w:color w:val="000000" w:themeColor="text1"/>
          <w:shd w:val="clear" w:color="auto" w:fill="FFFFFF"/>
        </w:rPr>
        <w:t>https://orcid.org/0000-0002-4842-8095</w:t>
      </w:r>
    </w:p>
    <w:p w14:paraId="21651F0A" w14:textId="77777777" w:rsidR="004174BD" w:rsidRPr="00155957" w:rsidRDefault="004174BD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p w14:paraId="5BF07373" w14:textId="3C437F18" w:rsidR="006C397C" w:rsidRPr="00155957" w:rsidRDefault="006C397C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 xml:space="preserve">Conflicts of </w:t>
      </w:r>
      <w:r w:rsidR="00F0597D" w:rsidRPr="00155957">
        <w:rPr>
          <w:rFonts w:asciiTheme="majorBidi" w:hAnsiTheme="majorBidi" w:cstheme="majorBidi"/>
          <w:b/>
          <w:bCs/>
          <w:lang w:val="en-GB"/>
        </w:rPr>
        <w:t>I</w:t>
      </w:r>
      <w:r w:rsidRPr="00155957">
        <w:rPr>
          <w:rFonts w:asciiTheme="majorBidi" w:hAnsiTheme="majorBidi" w:cstheme="majorBidi"/>
          <w:b/>
          <w:bCs/>
          <w:lang w:val="en-GB"/>
        </w:rPr>
        <w:t xml:space="preserve">nterest Statement </w:t>
      </w:r>
    </w:p>
    <w:p w14:paraId="0F3890F0" w14:textId="0B1269A0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1</w:t>
      </w:r>
      <w:r w:rsidR="006C397C" w:rsidRPr="00155957">
        <w:rPr>
          <w:rFonts w:asciiTheme="majorBidi" w:hAnsiTheme="majorBidi" w:cstheme="majorBidi"/>
          <w:lang w:val="en-GB"/>
        </w:rPr>
        <w:t xml:space="preserve">CNJ: Speaker fees from </w:t>
      </w:r>
      <w:proofErr w:type="spellStart"/>
      <w:r w:rsidR="006C397C" w:rsidRPr="00155957">
        <w:rPr>
          <w:rFonts w:asciiTheme="majorBidi" w:hAnsiTheme="majorBidi" w:cstheme="majorBidi"/>
          <w:lang w:val="en-GB"/>
        </w:rPr>
        <w:t>Besins</w:t>
      </w:r>
      <w:proofErr w:type="spellEnd"/>
      <w:r w:rsidR="006C397C" w:rsidRPr="00155957">
        <w:rPr>
          <w:rFonts w:asciiTheme="majorBidi" w:hAnsiTheme="majorBidi" w:cstheme="majorBidi"/>
          <w:lang w:val="en-GB"/>
        </w:rPr>
        <w:t xml:space="preserve"> Healthcare</w:t>
      </w:r>
    </w:p>
    <w:p w14:paraId="77C9F54D" w14:textId="77777777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lastRenderedPageBreak/>
        <w:t>3</w:t>
      </w:r>
      <w:r w:rsidRPr="00155957">
        <w:rPr>
          <w:rFonts w:asciiTheme="majorBidi" w:hAnsiTheme="majorBidi" w:cstheme="majorBidi"/>
          <w:lang w:val="en-GB"/>
        </w:rPr>
        <w:t xml:space="preserve">SL: Speaker fees from </w:t>
      </w:r>
      <w:proofErr w:type="spellStart"/>
      <w:r w:rsidRPr="00155957">
        <w:rPr>
          <w:rFonts w:asciiTheme="majorBidi" w:hAnsiTheme="majorBidi" w:cstheme="majorBidi"/>
          <w:lang w:val="en-GB"/>
        </w:rPr>
        <w:t>Besins</w:t>
      </w:r>
      <w:proofErr w:type="spellEnd"/>
      <w:r w:rsidRPr="00155957">
        <w:rPr>
          <w:rFonts w:asciiTheme="majorBidi" w:hAnsiTheme="majorBidi" w:cstheme="majorBidi"/>
          <w:lang w:val="en-GB"/>
        </w:rPr>
        <w:t xml:space="preserve"> Healthcare, Pfizer UK, </w:t>
      </w:r>
      <w:proofErr w:type="spellStart"/>
      <w:r w:rsidRPr="00155957">
        <w:rPr>
          <w:rFonts w:asciiTheme="majorBidi" w:hAnsiTheme="majorBidi" w:cstheme="majorBidi"/>
          <w:lang w:val="en-GB"/>
        </w:rPr>
        <w:t>Ipsen</w:t>
      </w:r>
      <w:proofErr w:type="spellEnd"/>
      <w:r w:rsidRPr="00155957">
        <w:rPr>
          <w:rFonts w:asciiTheme="majorBidi" w:hAnsiTheme="majorBidi" w:cstheme="majorBidi"/>
          <w:lang w:val="en-GB"/>
        </w:rPr>
        <w:t xml:space="preserve"> Global and sponsorship for conference attendance from Bayer UK</w:t>
      </w:r>
    </w:p>
    <w:p w14:paraId="6A4F2B3A" w14:textId="77777777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8</w:t>
      </w:r>
      <w:r w:rsidRPr="00155957">
        <w:rPr>
          <w:rFonts w:asciiTheme="majorBidi" w:hAnsiTheme="majorBidi" w:cstheme="majorBidi"/>
          <w:lang w:val="en-GB"/>
        </w:rPr>
        <w:t>PS: Speaker fees from Janssen and Intuitive Surgical Inc., consultancy fees from Cambridge Medical Robotics</w:t>
      </w:r>
    </w:p>
    <w:p w14:paraId="549545F5" w14:textId="74B5F80E" w:rsidR="003C3913" w:rsidRPr="00155957" w:rsidRDefault="00F0597D" w:rsidP="003C3913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12</w:t>
      </w:r>
      <w:r w:rsidR="006C397C" w:rsidRPr="00155957">
        <w:rPr>
          <w:rFonts w:asciiTheme="majorBidi" w:hAnsiTheme="majorBidi" w:cstheme="majorBidi"/>
          <w:lang w:val="en-GB"/>
        </w:rPr>
        <w:t>RQ: Speaker fees and sponsorship for conference attendance from Bayer UK</w:t>
      </w:r>
      <w:r w:rsidR="003C3913">
        <w:rPr>
          <w:rFonts w:asciiTheme="majorBidi" w:hAnsiTheme="majorBidi" w:cstheme="majorBidi"/>
          <w:lang w:val="en-GB"/>
        </w:rPr>
        <w:t>,</w:t>
      </w:r>
      <w:r w:rsidR="006C397C" w:rsidRPr="00155957">
        <w:rPr>
          <w:rFonts w:asciiTheme="majorBidi" w:hAnsiTheme="majorBidi" w:cstheme="majorBidi"/>
          <w:lang w:val="en-GB"/>
        </w:rPr>
        <w:t xml:space="preserve"> </w:t>
      </w:r>
      <w:r w:rsidR="003C3913">
        <w:rPr>
          <w:rFonts w:asciiTheme="majorBidi" w:hAnsiTheme="majorBidi" w:cstheme="majorBidi"/>
          <w:lang w:val="en-GB"/>
        </w:rPr>
        <w:t>and Speaker fee</w:t>
      </w:r>
      <w:r w:rsidR="003C3913" w:rsidRPr="00155957">
        <w:rPr>
          <w:rFonts w:asciiTheme="majorBidi" w:hAnsiTheme="majorBidi" w:cstheme="majorBidi"/>
          <w:lang w:val="en-GB"/>
        </w:rPr>
        <w:t xml:space="preserve"> from </w:t>
      </w:r>
      <w:proofErr w:type="spellStart"/>
      <w:r w:rsidR="003C3913" w:rsidRPr="00155957">
        <w:rPr>
          <w:rFonts w:asciiTheme="majorBidi" w:hAnsiTheme="majorBidi" w:cstheme="majorBidi"/>
          <w:lang w:val="en-GB"/>
        </w:rPr>
        <w:t>Besins</w:t>
      </w:r>
      <w:proofErr w:type="spellEnd"/>
      <w:r w:rsidR="003C3913" w:rsidRPr="00155957">
        <w:rPr>
          <w:rFonts w:asciiTheme="majorBidi" w:hAnsiTheme="majorBidi" w:cstheme="majorBidi"/>
          <w:lang w:val="en-GB"/>
        </w:rPr>
        <w:t xml:space="preserve"> Healthcare</w:t>
      </w:r>
      <w:r w:rsidR="003C3913">
        <w:rPr>
          <w:rFonts w:asciiTheme="majorBidi" w:hAnsiTheme="majorBidi" w:cstheme="majorBidi"/>
          <w:lang w:val="en-GB"/>
        </w:rPr>
        <w:t xml:space="preserve"> and Sandoz UK</w:t>
      </w:r>
      <w:bookmarkStart w:id="1" w:name="_GoBack"/>
      <w:bookmarkEnd w:id="1"/>
    </w:p>
    <w:p w14:paraId="1D6F86D7" w14:textId="2FBF2FB0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p w14:paraId="32230DC8" w14:textId="5A12C820" w:rsidR="006C397C" w:rsidRPr="00155957" w:rsidRDefault="006C397C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p w14:paraId="1D944D2B" w14:textId="62D89B26" w:rsidR="004174BD" w:rsidRPr="00155957" w:rsidRDefault="004174BD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 xml:space="preserve">Author Declaration </w:t>
      </w:r>
    </w:p>
    <w:p w14:paraId="7035DBF0" w14:textId="3E80EA6C" w:rsidR="006C397C" w:rsidRPr="00155957" w:rsidRDefault="004174B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highlight w:val="yellow"/>
          <w:lang w:val="en-GB"/>
        </w:rPr>
        <w:t>Please see “Author Declaration Form-</w:t>
      </w:r>
      <w:proofErr w:type="spellStart"/>
      <w:r w:rsidRPr="00155957">
        <w:rPr>
          <w:rFonts w:asciiTheme="majorBidi" w:hAnsiTheme="majorBidi" w:cstheme="majorBidi"/>
          <w:highlight w:val="yellow"/>
          <w:lang w:val="en-GB"/>
        </w:rPr>
        <w:t>Jayasena</w:t>
      </w:r>
      <w:proofErr w:type="spellEnd"/>
      <w:r w:rsidRPr="00155957">
        <w:rPr>
          <w:rFonts w:asciiTheme="majorBidi" w:hAnsiTheme="majorBidi" w:cstheme="majorBidi"/>
          <w:highlight w:val="yellow"/>
          <w:lang w:val="en-GB"/>
        </w:rPr>
        <w:t xml:space="preserve"> et al 2021” file</w:t>
      </w:r>
    </w:p>
    <w:p w14:paraId="74ABF59E" w14:textId="77777777" w:rsidR="006C397C" w:rsidRPr="00155957" w:rsidRDefault="006C397C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</w:p>
    <w:p w14:paraId="03FAB174" w14:textId="34140C7B" w:rsidR="006C397C" w:rsidRPr="00155957" w:rsidRDefault="006C397C" w:rsidP="00155957">
      <w:pPr>
        <w:spacing w:line="480" w:lineRule="auto"/>
        <w:outlineLvl w:val="0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>Funding</w:t>
      </w:r>
      <w:r w:rsidR="004174BD" w:rsidRPr="00155957">
        <w:rPr>
          <w:rFonts w:asciiTheme="majorBidi" w:hAnsiTheme="majorBidi" w:cstheme="majorBidi"/>
          <w:b/>
          <w:bCs/>
          <w:lang w:val="en-GB"/>
        </w:rPr>
        <w:t xml:space="preserve"> Statement </w:t>
      </w:r>
    </w:p>
    <w:p w14:paraId="6E81C756" w14:textId="5BE92D84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lang w:val="en-GB"/>
        </w:rPr>
        <w:t>Contributors in this work receive research funding from the following:</w:t>
      </w:r>
    </w:p>
    <w:p w14:paraId="25D00334" w14:textId="77777777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1</w:t>
      </w:r>
      <w:r w:rsidRPr="00155957">
        <w:rPr>
          <w:rFonts w:asciiTheme="majorBidi" w:hAnsiTheme="majorBidi" w:cstheme="majorBidi"/>
          <w:lang w:val="en-GB"/>
        </w:rPr>
        <w:t xml:space="preserve">CNJ: </w:t>
      </w:r>
      <w:r w:rsidR="006C397C" w:rsidRPr="00155957">
        <w:rPr>
          <w:rFonts w:asciiTheme="majorBidi" w:hAnsiTheme="majorBidi" w:cstheme="majorBidi"/>
          <w:lang w:val="en-GB"/>
        </w:rPr>
        <w:t xml:space="preserve">National Institute for Healthcare Research (NIHR) Post-Doctoral Fellowship &amp; Imperial NIHR Biomedical Research Centre; </w:t>
      </w:r>
    </w:p>
    <w:p w14:paraId="3D11695E" w14:textId="77777777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1</w:t>
      </w:r>
      <w:r w:rsidRPr="00155957">
        <w:rPr>
          <w:rFonts w:asciiTheme="majorBidi" w:hAnsiTheme="majorBidi" w:cstheme="majorBidi"/>
          <w:lang w:val="en-GB"/>
        </w:rPr>
        <w:t xml:space="preserve">CNJ &amp; </w:t>
      </w:r>
      <w:r w:rsidRPr="00155957">
        <w:rPr>
          <w:rFonts w:asciiTheme="majorBidi" w:hAnsiTheme="majorBidi" w:cstheme="majorBidi"/>
          <w:vertAlign w:val="superscript"/>
          <w:lang w:val="en-GB"/>
        </w:rPr>
        <w:t>12</w:t>
      </w:r>
      <w:r w:rsidRPr="00155957">
        <w:rPr>
          <w:rFonts w:asciiTheme="majorBidi" w:hAnsiTheme="majorBidi" w:cstheme="majorBidi"/>
          <w:lang w:val="en-GB"/>
        </w:rPr>
        <w:t xml:space="preserve">RQ: </w:t>
      </w:r>
      <w:r w:rsidR="006C397C" w:rsidRPr="00155957">
        <w:rPr>
          <w:rFonts w:asciiTheme="majorBidi" w:hAnsiTheme="majorBidi" w:cstheme="majorBidi"/>
          <w:lang w:val="en-GB"/>
        </w:rPr>
        <w:t>NIHR Health Technology Assessment (HTA) Grant</w:t>
      </w:r>
      <w:r w:rsidRPr="00155957">
        <w:rPr>
          <w:rFonts w:asciiTheme="majorBidi" w:hAnsiTheme="majorBidi" w:cstheme="majorBidi"/>
          <w:lang w:val="en-GB"/>
        </w:rPr>
        <w:t>;</w:t>
      </w:r>
    </w:p>
    <w:p w14:paraId="31C7617A" w14:textId="77777777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3</w:t>
      </w:r>
      <w:r w:rsidRPr="00155957">
        <w:rPr>
          <w:rFonts w:asciiTheme="majorBidi" w:hAnsiTheme="majorBidi" w:cstheme="majorBidi"/>
          <w:lang w:val="en-GB"/>
        </w:rPr>
        <w:t xml:space="preserve">SL: </w:t>
      </w:r>
      <w:r w:rsidR="006C397C" w:rsidRPr="00155957">
        <w:rPr>
          <w:rFonts w:asciiTheme="majorBidi" w:hAnsiTheme="majorBidi" w:cstheme="majorBidi"/>
          <w:lang w:val="en-GB"/>
        </w:rPr>
        <w:t>NIHR ICA Post-Doctoral Clinical Lectureship (SL)</w:t>
      </w:r>
      <w:r w:rsidRPr="00155957">
        <w:rPr>
          <w:rFonts w:asciiTheme="majorBidi" w:hAnsiTheme="majorBidi" w:cstheme="majorBidi"/>
          <w:lang w:val="en-GB"/>
        </w:rPr>
        <w:t xml:space="preserve">; </w:t>
      </w:r>
    </w:p>
    <w:p w14:paraId="437656C7" w14:textId="7D4D0887" w:rsidR="006C397C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vertAlign w:val="superscript"/>
          <w:lang w:val="en-GB"/>
        </w:rPr>
        <w:t>8</w:t>
      </w:r>
      <w:r w:rsidRPr="00155957">
        <w:rPr>
          <w:rFonts w:asciiTheme="majorBidi" w:hAnsiTheme="majorBidi" w:cstheme="majorBidi"/>
          <w:lang w:val="en-GB"/>
        </w:rPr>
        <w:t xml:space="preserve">PS: </w:t>
      </w:r>
      <w:r w:rsidR="006C397C" w:rsidRPr="00155957">
        <w:rPr>
          <w:rFonts w:asciiTheme="majorBidi" w:hAnsiTheme="majorBidi" w:cstheme="majorBidi"/>
          <w:lang w:val="en-GB"/>
        </w:rPr>
        <w:t xml:space="preserve">Prostate Cancer Foundation Young Investigator Award. </w:t>
      </w:r>
    </w:p>
    <w:p w14:paraId="10EDA9FA" w14:textId="089EA5A1" w:rsidR="004174BD" w:rsidRPr="00155957" w:rsidRDefault="004174BD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p w14:paraId="4944C1BE" w14:textId="34F5EFBA" w:rsidR="004174BD" w:rsidRPr="00155957" w:rsidRDefault="004174BD" w:rsidP="00155957">
      <w:pPr>
        <w:spacing w:line="480" w:lineRule="auto"/>
        <w:rPr>
          <w:rFonts w:asciiTheme="majorBidi" w:hAnsiTheme="majorBidi" w:cstheme="majorBidi"/>
          <w:i/>
          <w:iCs/>
          <w:lang w:val="en-GB"/>
        </w:rPr>
      </w:pPr>
      <w:r w:rsidRPr="00155957">
        <w:rPr>
          <w:rStyle w:val="Emphasis"/>
          <w:rFonts w:asciiTheme="majorBidi" w:hAnsiTheme="majorBidi" w:cstheme="majorBidi"/>
          <w:b/>
          <w:bCs/>
          <w:i w:val="0"/>
          <w:iCs w:val="0"/>
          <w:color w:val="1C1D1E"/>
          <w:shd w:val="clear" w:color="auto" w:fill="FFFFFF"/>
        </w:rPr>
        <w:t>Data availability statement</w:t>
      </w:r>
    </w:p>
    <w:p w14:paraId="63B2C482" w14:textId="1B840B21" w:rsidR="004174BD" w:rsidRPr="00155957" w:rsidRDefault="00D57E61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lang w:val="en-GB"/>
        </w:rPr>
        <w:t xml:space="preserve">Data sharing and data accessibility is not applicable to this manuscript </w:t>
      </w:r>
    </w:p>
    <w:p w14:paraId="33ABB33A" w14:textId="77777777" w:rsidR="00F0597D" w:rsidRPr="00155957" w:rsidRDefault="00F0597D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p w14:paraId="76FBE35D" w14:textId="709632D8" w:rsidR="004174BD" w:rsidRPr="00155957" w:rsidRDefault="004174BD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 xml:space="preserve">Summary </w:t>
      </w:r>
    </w:p>
    <w:p w14:paraId="4B5EF7D3" w14:textId="4ED62FB3" w:rsidR="004174BD" w:rsidRPr="00155957" w:rsidRDefault="00D26AC6" w:rsidP="00155957">
      <w:pPr>
        <w:spacing w:line="480" w:lineRule="auto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lang w:val="en-GB"/>
        </w:rPr>
        <w:t xml:space="preserve">Male hypogonadism (MH) is a common endocrine disorder. However, uncertainties and variations in its diagnosis and management exist. There are several current guidelines on </w:t>
      </w:r>
      <w:r w:rsidRPr="00155957">
        <w:rPr>
          <w:rFonts w:asciiTheme="majorBidi" w:hAnsiTheme="majorBidi" w:cstheme="majorBidi"/>
          <w:lang w:val="en-GB"/>
        </w:rPr>
        <w:lastRenderedPageBreak/>
        <w:t>testosterone replacement therapy (TRT) which have been driven predominantly by single disciplines. The Society for Endocrinology commissioned this new guideline to provide all care providers with a multidisciplinary approach to treating patients with MH. This guideline has been compiled using expertise from endocrine (medical and nursing), primary care, clinical biochemistry, urology &amp; reproductive medicine practices. These guidelines also provide a patient perspective to help clinicians best manage MH.</w:t>
      </w:r>
    </w:p>
    <w:p w14:paraId="24F9F1DB" w14:textId="77777777" w:rsidR="004174BD" w:rsidRPr="00155957" w:rsidRDefault="004174BD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p w14:paraId="3950DA97" w14:textId="77777777" w:rsidR="004174BD" w:rsidRPr="00155957" w:rsidRDefault="004174BD" w:rsidP="00155957">
      <w:pPr>
        <w:spacing w:line="480" w:lineRule="auto"/>
        <w:outlineLvl w:val="0"/>
        <w:rPr>
          <w:rFonts w:asciiTheme="majorBidi" w:hAnsiTheme="majorBidi" w:cstheme="majorBidi"/>
          <w:b/>
          <w:bCs/>
          <w:lang w:val="en-GB"/>
        </w:rPr>
      </w:pPr>
      <w:r w:rsidRPr="00155957">
        <w:rPr>
          <w:rFonts w:asciiTheme="majorBidi" w:hAnsiTheme="majorBidi" w:cstheme="majorBidi"/>
          <w:b/>
          <w:bCs/>
          <w:lang w:val="en-GB"/>
        </w:rPr>
        <w:t>Key Words</w:t>
      </w:r>
    </w:p>
    <w:p w14:paraId="205E9296" w14:textId="0973C4C8" w:rsidR="004174BD" w:rsidRPr="00155957" w:rsidRDefault="004174BD" w:rsidP="00155957">
      <w:pPr>
        <w:spacing w:line="480" w:lineRule="auto"/>
        <w:outlineLvl w:val="0"/>
        <w:rPr>
          <w:rFonts w:asciiTheme="majorBidi" w:hAnsiTheme="majorBidi" w:cstheme="majorBidi"/>
          <w:lang w:val="en-GB"/>
        </w:rPr>
      </w:pPr>
      <w:r w:rsidRPr="00155957">
        <w:rPr>
          <w:rFonts w:asciiTheme="majorBidi" w:hAnsiTheme="majorBidi" w:cstheme="majorBidi"/>
          <w:lang w:val="en-GB"/>
        </w:rPr>
        <w:t>Hypogonadism, testosterone, libido, erectile dysfunction, guideline</w:t>
      </w:r>
    </w:p>
    <w:p w14:paraId="5D246F10" w14:textId="77777777" w:rsidR="004174BD" w:rsidRPr="00155957" w:rsidRDefault="004174BD" w:rsidP="00155957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</w:p>
    <w:p w14:paraId="59C59306" w14:textId="7D6B3BB9" w:rsidR="004174BD" w:rsidRPr="00155957" w:rsidRDefault="004174BD" w:rsidP="00155957">
      <w:pPr>
        <w:spacing w:line="480" w:lineRule="auto"/>
        <w:outlineLvl w:val="0"/>
        <w:rPr>
          <w:rFonts w:asciiTheme="majorBidi" w:hAnsiTheme="majorBidi" w:cstheme="majorBidi"/>
          <w:lang w:val="en-GB"/>
        </w:rPr>
      </w:pPr>
      <w:r w:rsidRPr="00634045">
        <w:rPr>
          <w:rFonts w:asciiTheme="majorBidi" w:hAnsiTheme="majorBidi" w:cstheme="majorBidi"/>
          <w:b/>
          <w:bCs/>
          <w:lang w:val="en-GB"/>
        </w:rPr>
        <w:t xml:space="preserve">Word Count: </w:t>
      </w:r>
      <w:r w:rsidRPr="00634045">
        <w:rPr>
          <w:rFonts w:asciiTheme="majorBidi" w:hAnsiTheme="majorBidi" w:cstheme="majorBidi"/>
          <w:lang w:val="en-GB"/>
        </w:rPr>
        <w:t>9</w:t>
      </w:r>
      <w:r w:rsidR="00634045" w:rsidRPr="00634045">
        <w:rPr>
          <w:rFonts w:asciiTheme="majorBidi" w:hAnsiTheme="majorBidi" w:cstheme="majorBidi"/>
          <w:lang w:val="en-GB"/>
        </w:rPr>
        <w:t>,692</w:t>
      </w:r>
    </w:p>
    <w:p w14:paraId="00252456" w14:textId="77777777" w:rsidR="006C397C" w:rsidRPr="00155957" w:rsidRDefault="006C397C" w:rsidP="00155957">
      <w:pPr>
        <w:spacing w:line="480" w:lineRule="auto"/>
        <w:rPr>
          <w:rFonts w:asciiTheme="majorBidi" w:hAnsiTheme="majorBidi" w:cstheme="majorBidi"/>
          <w:lang w:val="en-GB"/>
        </w:rPr>
      </w:pPr>
    </w:p>
    <w:sectPr w:rsidR="006C397C" w:rsidRPr="00155957" w:rsidSect="00633151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B1EF5" w14:textId="77777777" w:rsidR="008955AA" w:rsidRDefault="008955AA" w:rsidP="00633151">
      <w:r>
        <w:separator/>
      </w:r>
    </w:p>
  </w:endnote>
  <w:endnote w:type="continuationSeparator" w:id="0">
    <w:p w14:paraId="4EAF885A" w14:textId="77777777" w:rsidR="008955AA" w:rsidRDefault="008955AA" w:rsidP="0063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573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B14AE" w14:textId="0E2ACC8A" w:rsidR="00633151" w:rsidRDefault="00633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F9A80F" w14:textId="77777777" w:rsidR="00633151" w:rsidRDefault="0063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57436" w14:textId="77777777" w:rsidR="008955AA" w:rsidRDefault="008955AA" w:rsidP="00633151">
      <w:r>
        <w:separator/>
      </w:r>
    </w:p>
  </w:footnote>
  <w:footnote w:type="continuationSeparator" w:id="0">
    <w:p w14:paraId="6A094290" w14:textId="77777777" w:rsidR="008955AA" w:rsidRDefault="008955AA" w:rsidP="0063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C3716"/>
    <w:multiLevelType w:val="hybridMultilevel"/>
    <w:tmpl w:val="B8F627D4"/>
    <w:lvl w:ilvl="0" w:tplc="C2BC1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D64A4"/>
    <w:multiLevelType w:val="hybridMultilevel"/>
    <w:tmpl w:val="03ECF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6"/>
    <w:rsid w:val="000A34F2"/>
    <w:rsid w:val="00155957"/>
    <w:rsid w:val="003C3913"/>
    <w:rsid w:val="004174BD"/>
    <w:rsid w:val="00633151"/>
    <w:rsid w:val="00634045"/>
    <w:rsid w:val="006C219B"/>
    <w:rsid w:val="006C397C"/>
    <w:rsid w:val="008955AA"/>
    <w:rsid w:val="008F4466"/>
    <w:rsid w:val="00A9795C"/>
    <w:rsid w:val="00AE55F4"/>
    <w:rsid w:val="00D26AC6"/>
    <w:rsid w:val="00D57E61"/>
    <w:rsid w:val="00E13933"/>
    <w:rsid w:val="00F0597D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DB8D"/>
  <w15:chartTrackingRefBased/>
  <w15:docId w15:val="{2496CF65-26A9-4750-A5E8-A23FCF9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3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7C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7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9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4BD"/>
    <w:rPr>
      <w:i/>
      <w:iCs/>
    </w:rPr>
  </w:style>
  <w:style w:type="paragraph" w:styleId="ListParagraph">
    <w:name w:val="List Paragraph"/>
    <w:basedOn w:val="Normal"/>
    <w:uiPriority w:val="34"/>
    <w:qFormat/>
    <w:rsid w:val="00D57E61"/>
    <w:pPr>
      <w:ind w:left="720"/>
      <w:contextualSpacing/>
    </w:pPr>
  </w:style>
  <w:style w:type="character" w:customStyle="1" w:styleId="orcid-id-https">
    <w:name w:val="orcid-id-https"/>
    <w:basedOn w:val="DefaultParagraphFont"/>
    <w:rsid w:val="00D57E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E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3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15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633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15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styleId="LineNumber">
    <w:name w:val="line number"/>
    <w:basedOn w:val="DefaultParagraphFont"/>
    <w:uiPriority w:val="99"/>
    <w:semiHidden/>
    <w:unhideWhenUsed/>
    <w:rsid w:val="0063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Quinton@n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jayasena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Craig</dc:creator>
  <cp:keywords/>
  <dc:description/>
  <cp:lastModifiedBy>Microsoft account</cp:lastModifiedBy>
  <cp:revision>3</cp:revision>
  <dcterms:created xsi:type="dcterms:W3CDTF">2021-06-23T19:06:00Z</dcterms:created>
  <dcterms:modified xsi:type="dcterms:W3CDTF">2021-10-25T09:17:00Z</dcterms:modified>
</cp:coreProperties>
</file>